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D03BD4" w14:textId="77B66F17" w:rsidR="00C51C55" w:rsidRPr="00B2745D" w:rsidRDefault="00C51C55" w:rsidP="00C51C55">
      <w:pPr>
        <w:ind w:right="-709"/>
        <w:outlineLvl w:val="0"/>
        <w:rPr>
          <w:b/>
        </w:rPr>
      </w:pPr>
      <w:r w:rsidRPr="00B2745D">
        <w:rPr>
          <w:b/>
        </w:rPr>
        <w:t xml:space="preserve">PRESSEINFORMATION </w:t>
      </w:r>
      <w:bookmarkStart w:id="0" w:name="_GoBack"/>
      <w:bookmarkEnd w:id="0"/>
    </w:p>
    <w:p w14:paraId="11EDFC0C" w14:textId="4E8B39E6" w:rsidR="00D76DC4" w:rsidRDefault="00C51C55" w:rsidP="00064DC6">
      <w:pPr>
        <w:ind w:right="-709"/>
        <w:outlineLvl w:val="0"/>
        <w:rPr>
          <w:sz w:val="20"/>
        </w:rPr>
      </w:pPr>
      <w:r w:rsidRPr="00B2745D">
        <w:rPr>
          <w:sz w:val="20"/>
        </w:rPr>
        <w:t xml:space="preserve">Ulm, </w:t>
      </w:r>
      <w:r w:rsidR="008B61B8">
        <w:rPr>
          <w:sz w:val="20"/>
        </w:rPr>
        <w:t>1</w:t>
      </w:r>
      <w:r w:rsidR="003374A5">
        <w:rPr>
          <w:sz w:val="20"/>
        </w:rPr>
        <w:t>1</w:t>
      </w:r>
      <w:r w:rsidR="008B69E2" w:rsidRPr="00B2745D">
        <w:rPr>
          <w:sz w:val="20"/>
        </w:rPr>
        <w:t xml:space="preserve">. </w:t>
      </w:r>
      <w:r w:rsidR="00D76DC4">
        <w:rPr>
          <w:sz w:val="20"/>
        </w:rPr>
        <w:t>Dez</w:t>
      </w:r>
      <w:r w:rsidR="00255DA7">
        <w:rPr>
          <w:sz w:val="20"/>
        </w:rPr>
        <w:t>em</w:t>
      </w:r>
      <w:r w:rsidR="001934AC">
        <w:rPr>
          <w:sz w:val="20"/>
        </w:rPr>
        <w:t>ber</w:t>
      </w:r>
      <w:r w:rsidRPr="00B2745D">
        <w:rPr>
          <w:sz w:val="20"/>
        </w:rPr>
        <w:t xml:space="preserve"> 201</w:t>
      </w:r>
      <w:r w:rsidR="008B61B8">
        <w:rPr>
          <w:sz w:val="20"/>
        </w:rPr>
        <w:t>8</w:t>
      </w:r>
    </w:p>
    <w:p w14:paraId="51B498C6" w14:textId="4076D56E" w:rsidR="00CB6344" w:rsidRPr="00CB6344" w:rsidRDefault="00D76DC4" w:rsidP="00CB6344">
      <w:pPr>
        <w:ind w:right="-993"/>
        <w:rPr>
          <w:rFonts w:cs="Arial"/>
          <w:b/>
        </w:rPr>
      </w:pPr>
      <w:r w:rsidRPr="002E4FB3">
        <w:rPr>
          <w:rFonts w:cs="Arial"/>
          <w:b/>
        </w:rPr>
        <w:t>E-world 201</w:t>
      </w:r>
      <w:r w:rsidR="008B61B8">
        <w:rPr>
          <w:rFonts w:cs="Arial"/>
          <w:b/>
        </w:rPr>
        <w:t>9</w:t>
      </w:r>
      <w:r>
        <w:rPr>
          <w:rFonts w:cs="Arial"/>
          <w:b/>
        </w:rPr>
        <w:t xml:space="preserve"> – </w:t>
      </w:r>
      <w:r w:rsidR="008B61B8">
        <w:rPr>
          <w:rFonts w:cs="Arial"/>
          <w:b/>
        </w:rPr>
        <w:t>5</w:t>
      </w:r>
      <w:r w:rsidRPr="002E4FB3">
        <w:rPr>
          <w:rFonts w:cs="Arial"/>
          <w:b/>
        </w:rPr>
        <w:t xml:space="preserve">. </w:t>
      </w:r>
      <w:r>
        <w:rPr>
          <w:rFonts w:cs="Arial"/>
          <w:b/>
        </w:rPr>
        <w:t>bis</w:t>
      </w:r>
      <w:r w:rsidRPr="002E4FB3">
        <w:rPr>
          <w:rFonts w:cs="Arial"/>
          <w:b/>
        </w:rPr>
        <w:t xml:space="preserve"> </w:t>
      </w:r>
      <w:r w:rsidR="008B61B8">
        <w:rPr>
          <w:rFonts w:cs="Arial"/>
          <w:b/>
        </w:rPr>
        <w:t>7</w:t>
      </w:r>
      <w:r w:rsidR="00CB6344">
        <w:rPr>
          <w:rFonts w:cs="Arial"/>
          <w:b/>
        </w:rPr>
        <w:t>. Februar 2018</w:t>
      </w:r>
      <w:r w:rsidRPr="002E4FB3">
        <w:rPr>
          <w:rFonts w:cs="Arial"/>
          <w:b/>
        </w:rPr>
        <w:t xml:space="preserve"> in Essen </w:t>
      </w:r>
      <w:r>
        <w:rPr>
          <w:rFonts w:cs="Arial"/>
          <w:b/>
        </w:rPr>
        <w:t>–</w:t>
      </w:r>
      <w:r w:rsidRPr="002E4FB3">
        <w:rPr>
          <w:rFonts w:cs="Arial"/>
          <w:b/>
        </w:rPr>
        <w:t xml:space="preserve"> </w:t>
      </w:r>
      <w:r w:rsidR="00CB6344">
        <w:rPr>
          <w:rFonts w:cs="Arial"/>
          <w:b/>
        </w:rPr>
        <w:t xml:space="preserve">Halle 1 / Stand </w:t>
      </w:r>
      <w:r w:rsidR="00CB6344" w:rsidRPr="00CB6344">
        <w:rPr>
          <w:rFonts w:cs="Arial"/>
          <w:b/>
        </w:rPr>
        <w:t>134</w:t>
      </w:r>
    </w:p>
    <w:p w14:paraId="795FDA57" w14:textId="38DA21D7" w:rsidR="00726214" w:rsidRDefault="008B61B8" w:rsidP="00726214">
      <w:pPr>
        <w:ind w:right="-1843"/>
        <w:rPr>
          <w:rFonts w:cs="Arial"/>
          <w:b/>
          <w:bCs/>
          <w:szCs w:val="22"/>
        </w:rPr>
      </w:pPr>
      <w:r>
        <w:rPr>
          <w:b/>
          <w:bCs/>
          <w:sz w:val="28"/>
          <w:szCs w:val="28"/>
        </w:rPr>
        <w:t>Wilken PRO: Wirtschaftlich ab dem ersten Zählpunkt</w:t>
      </w:r>
      <w:r w:rsidR="00726214">
        <w:rPr>
          <w:b/>
          <w:bCs/>
          <w:sz w:val="28"/>
          <w:szCs w:val="28"/>
        </w:rPr>
        <w:br/>
      </w:r>
      <w:r>
        <w:rPr>
          <w:rFonts w:cs="Arial"/>
          <w:b/>
          <w:bCs/>
          <w:szCs w:val="22"/>
        </w:rPr>
        <w:t xml:space="preserve">Neue Full-Service-Angebote für </w:t>
      </w:r>
      <w:proofErr w:type="spellStart"/>
      <w:r>
        <w:rPr>
          <w:rFonts w:cs="Arial"/>
          <w:b/>
          <w:bCs/>
          <w:szCs w:val="22"/>
        </w:rPr>
        <w:t>iMSB</w:t>
      </w:r>
      <w:proofErr w:type="spellEnd"/>
      <w:r>
        <w:rPr>
          <w:rFonts w:cs="Arial"/>
          <w:b/>
          <w:bCs/>
          <w:szCs w:val="22"/>
        </w:rPr>
        <w:t>-Abrechnung und bundesweiten Vertrieb</w:t>
      </w:r>
    </w:p>
    <w:p w14:paraId="6D484326" w14:textId="499C28B9" w:rsidR="00726214" w:rsidRDefault="008B61B8" w:rsidP="00726214">
      <w:pPr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 xml:space="preserve">Mit neuen Full-Service-Angeboten unterstützt </w:t>
      </w:r>
      <w:r w:rsidRPr="008B61B8">
        <w:rPr>
          <w:rFonts w:cs="Helvetica"/>
          <w:b/>
          <w:bCs/>
          <w:sz w:val="20"/>
        </w:rPr>
        <w:t xml:space="preserve">die Wilken PRO GmbH, die gemeinsame Dienstleistungstochter der Wilken Software Group und der Aachener FACTUR </w:t>
      </w:r>
      <w:proofErr w:type="spellStart"/>
      <w:r w:rsidRPr="008B61B8">
        <w:rPr>
          <w:rFonts w:cs="Helvetica"/>
          <w:b/>
          <w:bCs/>
          <w:sz w:val="20"/>
        </w:rPr>
        <w:t>Billing</w:t>
      </w:r>
      <w:proofErr w:type="spellEnd"/>
      <w:r w:rsidRPr="008B61B8">
        <w:rPr>
          <w:rFonts w:cs="Helvetica"/>
          <w:b/>
          <w:bCs/>
          <w:sz w:val="20"/>
        </w:rPr>
        <w:t xml:space="preserve"> Solutions GmbH,</w:t>
      </w:r>
      <w:r>
        <w:rPr>
          <w:rFonts w:cs="Helvetica"/>
          <w:b/>
          <w:bCs/>
          <w:sz w:val="20"/>
        </w:rPr>
        <w:t xml:space="preserve"> Vertriebe und Netzbetreiber bei der wirtschaftliche</w:t>
      </w:r>
      <w:r w:rsidR="001265F4">
        <w:rPr>
          <w:rFonts w:cs="Helvetica"/>
          <w:b/>
          <w:bCs/>
          <w:sz w:val="20"/>
        </w:rPr>
        <w:t>n</w:t>
      </w:r>
      <w:r>
        <w:rPr>
          <w:rFonts w:cs="Helvetica"/>
          <w:b/>
          <w:bCs/>
          <w:sz w:val="20"/>
        </w:rPr>
        <w:t xml:space="preserve"> Umsetzung </w:t>
      </w:r>
      <w:r w:rsidR="001265F4">
        <w:rPr>
          <w:rFonts w:cs="Helvetica"/>
          <w:b/>
          <w:bCs/>
          <w:sz w:val="20"/>
        </w:rPr>
        <w:t>unterschiedlicher Aufgaben. So zeigt Wilken PRO mit seinem neuen Template „Bundesweiter Vertrieb“ eine Lösung, mit der neue und alte Lieferanten ihre Vertriebsprozesse schon ab dem ersten Zählpunkt mit einem vernünftigen „</w:t>
      </w:r>
      <w:proofErr w:type="spellStart"/>
      <w:r w:rsidR="001265F4">
        <w:rPr>
          <w:rFonts w:cs="Helvetica"/>
          <w:b/>
          <w:bCs/>
          <w:sz w:val="20"/>
        </w:rPr>
        <w:t>Cost</w:t>
      </w:r>
      <w:proofErr w:type="spellEnd"/>
      <w:r w:rsidR="001265F4">
        <w:rPr>
          <w:rFonts w:cs="Helvetica"/>
          <w:b/>
          <w:bCs/>
          <w:sz w:val="20"/>
        </w:rPr>
        <w:t>-</w:t>
      </w:r>
      <w:proofErr w:type="spellStart"/>
      <w:r w:rsidR="001265F4">
        <w:rPr>
          <w:rFonts w:cs="Helvetica"/>
          <w:b/>
          <w:bCs/>
          <w:sz w:val="20"/>
        </w:rPr>
        <w:t>to</w:t>
      </w:r>
      <w:proofErr w:type="spellEnd"/>
      <w:r w:rsidR="001265F4">
        <w:rPr>
          <w:rFonts w:cs="Helvetica"/>
          <w:b/>
          <w:bCs/>
          <w:sz w:val="20"/>
        </w:rPr>
        <w:t xml:space="preserve">-Service“-Verhältnis abbilden </w:t>
      </w:r>
      <w:r w:rsidR="002F2919">
        <w:rPr>
          <w:rFonts w:cs="Helvetica"/>
          <w:b/>
          <w:bCs/>
          <w:sz w:val="20"/>
        </w:rPr>
        <w:t>können</w:t>
      </w:r>
      <w:r w:rsidR="001265F4">
        <w:rPr>
          <w:rFonts w:cs="Helvetica"/>
          <w:b/>
          <w:bCs/>
          <w:sz w:val="20"/>
        </w:rPr>
        <w:t>. Das Template „</w:t>
      </w:r>
      <w:proofErr w:type="spellStart"/>
      <w:r w:rsidR="001265F4">
        <w:rPr>
          <w:rFonts w:cs="Helvetica"/>
          <w:b/>
          <w:bCs/>
          <w:sz w:val="20"/>
        </w:rPr>
        <w:t>iMSB</w:t>
      </w:r>
      <w:proofErr w:type="spellEnd"/>
      <w:r w:rsidR="001265F4">
        <w:rPr>
          <w:rFonts w:cs="Helvetica"/>
          <w:b/>
          <w:bCs/>
          <w:sz w:val="20"/>
        </w:rPr>
        <w:t>-Abrechnung“ richtet sich dagegen an den Verteilnetzbetreiber, der so für diesen neuen</w:t>
      </w:r>
      <w:r w:rsidR="0094403C">
        <w:rPr>
          <w:rFonts w:cs="Helvetica"/>
          <w:b/>
          <w:bCs/>
          <w:sz w:val="20"/>
        </w:rPr>
        <w:t>,</w:t>
      </w:r>
      <w:r w:rsidR="001265F4">
        <w:rPr>
          <w:rFonts w:cs="Helvetica"/>
          <w:b/>
          <w:bCs/>
          <w:sz w:val="20"/>
        </w:rPr>
        <w:t xml:space="preserve"> aber durchaus lästigen Endkundenprozess keine neuen Ressourcen aufbauen muss.</w:t>
      </w:r>
    </w:p>
    <w:p w14:paraId="2CE297F3" w14:textId="0266A0BC" w:rsidR="00726214" w:rsidRDefault="001265F4" w:rsidP="00726214">
      <w:pPr>
        <w:rPr>
          <w:rFonts w:cs="Helvetica"/>
          <w:sz w:val="20"/>
        </w:rPr>
      </w:pPr>
      <w:r>
        <w:rPr>
          <w:rFonts w:cs="Helvetica"/>
          <w:sz w:val="20"/>
        </w:rPr>
        <w:t>Im Rahmen des Rollouts der intelligenten Messsysteme (iMsys) sind die gr</w:t>
      </w:r>
      <w:r w:rsidR="0094403C">
        <w:rPr>
          <w:rFonts w:cs="Helvetica"/>
          <w:sz w:val="20"/>
        </w:rPr>
        <w:t>und</w:t>
      </w:r>
      <w:r>
        <w:rPr>
          <w:rFonts w:cs="Helvetica"/>
          <w:sz w:val="20"/>
        </w:rPr>
        <w:t xml:space="preserve">zuständigen Messstellenbetreiber </w:t>
      </w:r>
      <w:r w:rsidR="0094403C">
        <w:rPr>
          <w:rFonts w:cs="Helvetica"/>
          <w:sz w:val="20"/>
        </w:rPr>
        <w:t xml:space="preserve">(gMSB) </w:t>
      </w:r>
      <w:r>
        <w:rPr>
          <w:rFonts w:cs="Helvetica"/>
          <w:sz w:val="20"/>
        </w:rPr>
        <w:t xml:space="preserve">künftig gezwungen, die entsprechenden Kosten direkt gegenüber dem Endkunden abzurechnen. In der Praxis </w:t>
      </w:r>
      <w:r w:rsidR="0094403C">
        <w:rPr>
          <w:rFonts w:cs="Helvetica"/>
          <w:sz w:val="20"/>
        </w:rPr>
        <w:t>handelt</w:t>
      </w:r>
      <w:r>
        <w:rPr>
          <w:rFonts w:cs="Helvetica"/>
          <w:sz w:val="20"/>
        </w:rPr>
        <w:t xml:space="preserve"> </w:t>
      </w:r>
      <w:r w:rsidR="0094403C">
        <w:rPr>
          <w:rFonts w:cs="Helvetica"/>
          <w:sz w:val="20"/>
        </w:rPr>
        <w:t xml:space="preserve">es sich hier </w:t>
      </w:r>
      <w:r>
        <w:rPr>
          <w:rFonts w:cs="Helvetica"/>
          <w:sz w:val="20"/>
        </w:rPr>
        <w:t xml:space="preserve">in der Regel </w:t>
      </w:r>
      <w:r w:rsidR="002F2919">
        <w:rPr>
          <w:rFonts w:cs="Helvetica"/>
          <w:sz w:val="20"/>
        </w:rPr>
        <w:t xml:space="preserve">nur </w:t>
      </w:r>
      <w:r w:rsidR="0094403C">
        <w:rPr>
          <w:rFonts w:cs="Helvetica"/>
          <w:sz w:val="20"/>
        </w:rPr>
        <w:t xml:space="preserve">um </w:t>
      </w:r>
      <w:r>
        <w:rPr>
          <w:rFonts w:cs="Helvetica"/>
          <w:sz w:val="20"/>
        </w:rPr>
        <w:t>geringe Beträge</w:t>
      </w:r>
      <w:r w:rsidR="0094403C">
        <w:rPr>
          <w:rFonts w:cs="Helvetica"/>
          <w:sz w:val="20"/>
        </w:rPr>
        <w:t>.</w:t>
      </w:r>
      <w:r>
        <w:rPr>
          <w:rFonts w:cs="Helvetica"/>
          <w:sz w:val="20"/>
        </w:rPr>
        <w:t xml:space="preserve"> </w:t>
      </w:r>
      <w:r w:rsidR="0094403C">
        <w:rPr>
          <w:rFonts w:cs="Helvetica"/>
          <w:sz w:val="20"/>
        </w:rPr>
        <w:t>F</w:t>
      </w:r>
      <w:r>
        <w:rPr>
          <w:rFonts w:cs="Helvetica"/>
          <w:sz w:val="20"/>
        </w:rPr>
        <w:t>ür die</w:t>
      </w:r>
      <w:r w:rsidR="0094403C">
        <w:rPr>
          <w:rFonts w:cs="Helvetica"/>
          <w:sz w:val="20"/>
        </w:rPr>
        <w:t>se müsste</w:t>
      </w:r>
      <w:r>
        <w:rPr>
          <w:rFonts w:cs="Helvetica"/>
          <w:sz w:val="20"/>
        </w:rPr>
        <w:t xml:space="preserve"> </w:t>
      </w:r>
      <w:r w:rsidR="0094403C">
        <w:rPr>
          <w:rFonts w:cs="Helvetica"/>
          <w:sz w:val="20"/>
        </w:rPr>
        <w:t>jedoch</w:t>
      </w:r>
      <w:r>
        <w:rPr>
          <w:rFonts w:cs="Helvetica"/>
          <w:sz w:val="20"/>
        </w:rPr>
        <w:t xml:space="preserve"> ein eigener Abrechnungsprozess aufgebaut werden, der sich niemals rechnen </w:t>
      </w:r>
      <w:r w:rsidR="002F2919">
        <w:rPr>
          <w:rFonts w:cs="Helvetica"/>
          <w:sz w:val="20"/>
        </w:rPr>
        <w:t>würde</w:t>
      </w:r>
      <w:r>
        <w:rPr>
          <w:rFonts w:cs="Helvetica"/>
          <w:sz w:val="20"/>
        </w:rPr>
        <w:t xml:space="preserve">. Wilken PRO bietet deswegen </w:t>
      </w:r>
      <w:r w:rsidR="008B6D73">
        <w:rPr>
          <w:rFonts w:cs="Helvetica"/>
          <w:sz w:val="20"/>
        </w:rPr>
        <w:t xml:space="preserve">Verteilnetzbetreibern in der Rolle des gMSB </w:t>
      </w:r>
      <w:r>
        <w:rPr>
          <w:rFonts w:cs="Helvetica"/>
          <w:sz w:val="20"/>
        </w:rPr>
        <w:t xml:space="preserve">die Möglichkeit, die </w:t>
      </w:r>
      <w:proofErr w:type="spellStart"/>
      <w:r>
        <w:rPr>
          <w:rFonts w:cs="Helvetica"/>
          <w:sz w:val="20"/>
        </w:rPr>
        <w:t>iMSB</w:t>
      </w:r>
      <w:proofErr w:type="spellEnd"/>
      <w:r>
        <w:rPr>
          <w:rFonts w:cs="Helvetica"/>
          <w:sz w:val="20"/>
        </w:rPr>
        <w:t xml:space="preserve">-Abrechnung komplett auszulagern. </w:t>
      </w:r>
    </w:p>
    <w:p w14:paraId="625BD635" w14:textId="1B5143D7" w:rsidR="001265F4" w:rsidRPr="00C92D70" w:rsidRDefault="001265F4" w:rsidP="00726214">
      <w:pPr>
        <w:rPr>
          <w:rFonts w:cs="Helvetica"/>
          <w:sz w:val="20"/>
        </w:rPr>
      </w:pPr>
      <w:r>
        <w:rPr>
          <w:rFonts w:cs="Helvetica"/>
          <w:sz w:val="20"/>
        </w:rPr>
        <w:t>Das Template „Bundesweiter Vertrieb“ basiert auf dem Grundgedanken der geteilten Ressourcen. Auf diese Weise lassen sich einzelne Aufgaben</w:t>
      </w:r>
      <w:r w:rsidR="008B6D73">
        <w:rPr>
          <w:rFonts w:cs="Helvetica"/>
          <w:sz w:val="20"/>
        </w:rPr>
        <w:t xml:space="preserve"> aber auch ganze Prozessketten</w:t>
      </w:r>
      <w:r>
        <w:rPr>
          <w:rFonts w:cs="Helvetica"/>
          <w:sz w:val="20"/>
        </w:rPr>
        <w:t xml:space="preserve"> </w:t>
      </w:r>
      <w:r w:rsidR="008B6D73">
        <w:rPr>
          <w:rFonts w:cs="Helvetica"/>
          <w:sz w:val="20"/>
        </w:rPr>
        <w:t xml:space="preserve">an Wilken PRO auslagern. Dazu gehört beispielsweise </w:t>
      </w:r>
      <w:r>
        <w:rPr>
          <w:rFonts w:cs="Helvetica"/>
          <w:sz w:val="20"/>
        </w:rPr>
        <w:t xml:space="preserve">der Kundenservice, </w:t>
      </w:r>
      <w:r w:rsidR="008B6D73">
        <w:rPr>
          <w:rFonts w:cs="Helvetica"/>
          <w:sz w:val="20"/>
        </w:rPr>
        <w:t>in dessen Rahmen die Wilken PRO-</w:t>
      </w:r>
      <w:r>
        <w:rPr>
          <w:rFonts w:cs="Helvetica"/>
          <w:sz w:val="20"/>
        </w:rPr>
        <w:t xml:space="preserve">Mitarbeiter dann </w:t>
      </w:r>
      <w:r w:rsidR="008B6D73">
        <w:rPr>
          <w:rFonts w:cs="Helvetica"/>
          <w:sz w:val="20"/>
        </w:rPr>
        <w:t>im Namen des jeweiligen Unternehmens</w:t>
      </w:r>
      <w:r>
        <w:rPr>
          <w:rFonts w:cs="Helvetica"/>
          <w:sz w:val="20"/>
        </w:rPr>
        <w:t xml:space="preserve"> Kundenanfragen und -reklamationen persönlich am Telefon oder </w:t>
      </w:r>
      <w:r w:rsidR="0094403C">
        <w:rPr>
          <w:rFonts w:cs="Helvetica"/>
          <w:sz w:val="20"/>
        </w:rPr>
        <w:t>schriftlich bearbeiten</w:t>
      </w:r>
      <w:r w:rsidR="008B6D73">
        <w:rPr>
          <w:rFonts w:cs="Helvetica"/>
          <w:sz w:val="20"/>
        </w:rPr>
        <w:t>, als wären es die eigenen Mitarbeiter</w:t>
      </w:r>
      <w:r w:rsidR="0094403C">
        <w:rPr>
          <w:rFonts w:cs="Helvetica"/>
          <w:sz w:val="20"/>
        </w:rPr>
        <w:t xml:space="preserve">. Das Template umfasst </w:t>
      </w:r>
      <w:r w:rsidR="008B6D73">
        <w:rPr>
          <w:rFonts w:cs="Helvetica"/>
          <w:sz w:val="20"/>
        </w:rPr>
        <w:t xml:space="preserve">darüber hinaus </w:t>
      </w:r>
      <w:r w:rsidR="0094403C">
        <w:rPr>
          <w:rFonts w:cs="Helvetica"/>
          <w:sz w:val="20"/>
        </w:rPr>
        <w:t xml:space="preserve">zahlreiche weitere Module wie </w:t>
      </w:r>
      <w:r w:rsidR="0094403C">
        <w:rPr>
          <w:rFonts w:cs="Helvetica"/>
          <w:sz w:val="20"/>
        </w:rPr>
        <w:lastRenderedPageBreak/>
        <w:t>etwa „Lieferantenwechsel“, „Abrechnung &amp; Nebenbuchhaltung“, „Portallösungen“ oder ein „Vertriebs-EDM“. Selbst das Bilanzkreismanagement kann über einen Partner von Wilken PRO abgewickelt werden. Sämtliche Prozesse sind hochgradig automatisierbar und können integriert mit den operativen Systemen des Auftraggebers abgebildet werden.</w:t>
      </w:r>
    </w:p>
    <w:tbl>
      <w:tblPr>
        <w:tblW w:w="9180" w:type="dxa"/>
        <w:tblInd w:w="-104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726214" w:rsidRPr="00B2745D" w14:paraId="294D2BEA" w14:textId="77777777" w:rsidTr="001265F4">
        <w:tc>
          <w:tcPr>
            <w:tcW w:w="4361" w:type="dxa"/>
            <w:shd w:val="clear" w:color="auto" w:fill="auto"/>
          </w:tcPr>
          <w:p w14:paraId="0BEC1C0C" w14:textId="7BD0A94C" w:rsidR="00726214" w:rsidRPr="00B2745D" w:rsidRDefault="00726214" w:rsidP="007E309D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PRO GmbH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– </w:t>
            </w:r>
            <w:r w:rsidR="008B61B8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Max </w:t>
            </w:r>
            <w:proofErr w:type="spellStart"/>
            <w:r w:rsidR="008B61B8">
              <w:rPr>
                <w:rFonts w:ascii="Arial" w:hAnsi="Arial" w:cs="Calibri"/>
                <w:sz w:val="16"/>
                <w:szCs w:val="26"/>
                <w:lang w:eastAsia="de-DE"/>
              </w:rPr>
              <w:t>Schießler</w:t>
            </w:r>
            <w:proofErr w:type="spellEnd"/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Hörvelsinger</w:t>
            </w:r>
            <w:proofErr w:type="spellEnd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Weg 29-31 – 89081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ab/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 50-0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7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presse@wilken.de</w:t>
              </w:r>
            </w:hyperlink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hyperlink r:id="rId8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www.wilken.de</w:t>
              </w:r>
            </w:hyperlink>
          </w:p>
        </w:tc>
        <w:tc>
          <w:tcPr>
            <w:tcW w:w="4819" w:type="dxa"/>
            <w:shd w:val="clear" w:color="auto" w:fill="auto"/>
          </w:tcPr>
          <w:p w14:paraId="7BFCB8DF" w14:textId="77777777" w:rsidR="00726214" w:rsidRPr="00B2745D" w:rsidRDefault="00726214" w:rsidP="007E309D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 – Uwe Pagel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9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– </w:t>
            </w:r>
            <w:hyperlink r:id="rId10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www.press-n-relations.com</w:t>
              </w:r>
            </w:hyperlink>
          </w:p>
        </w:tc>
      </w:tr>
    </w:tbl>
    <w:p w14:paraId="109A6EE0" w14:textId="77777777" w:rsidR="00726214" w:rsidRDefault="00726214" w:rsidP="00726214">
      <w:pPr>
        <w:spacing w:line="240" w:lineRule="auto"/>
        <w:ind w:right="-1701"/>
        <w:rPr>
          <w:rFonts w:cs="Calibri"/>
          <w:bCs/>
          <w:sz w:val="16"/>
          <w:szCs w:val="26"/>
          <w:lang w:eastAsia="de-DE"/>
        </w:rPr>
      </w:pPr>
    </w:p>
    <w:p w14:paraId="0F9C4A11" w14:textId="77777777" w:rsidR="00726214" w:rsidRPr="00A8158F" w:rsidRDefault="00726214" w:rsidP="00726214">
      <w:pPr>
        <w:spacing w:line="240" w:lineRule="auto"/>
        <w:ind w:right="-1701"/>
        <w:rPr>
          <w:rFonts w:ascii="Arial" w:hAnsi="Arial" w:cs="Calibri"/>
          <w:sz w:val="16"/>
          <w:szCs w:val="26"/>
          <w:lang w:eastAsia="de-DE"/>
        </w:rPr>
      </w:pPr>
      <w:r w:rsidRPr="0007296F">
        <w:rPr>
          <w:rFonts w:ascii="Arial" w:hAnsi="Arial" w:cs="Calibri"/>
          <w:b/>
          <w:bCs/>
          <w:sz w:val="16"/>
          <w:szCs w:val="26"/>
          <w:lang w:eastAsia="de-DE"/>
        </w:rPr>
        <w:t xml:space="preserve">Über die Wilken </w:t>
      </w:r>
      <w:r>
        <w:rPr>
          <w:rFonts w:ascii="Arial" w:hAnsi="Arial" w:cs="Calibri"/>
          <w:b/>
          <w:bCs/>
          <w:sz w:val="16"/>
          <w:szCs w:val="26"/>
          <w:lang w:eastAsia="de-DE"/>
        </w:rPr>
        <w:t>PRO GmbH</w:t>
      </w:r>
      <w:r w:rsidRPr="0007296F">
        <w:rPr>
          <w:rFonts w:ascii="Arial" w:hAnsi="Arial" w:cs="Calibri"/>
          <w:b/>
          <w:sz w:val="16"/>
          <w:szCs w:val="26"/>
          <w:lang w:eastAsia="de-DE"/>
        </w:rPr>
        <w:br/>
      </w:r>
      <w:r>
        <w:rPr>
          <w:rFonts w:ascii="Arial" w:hAnsi="Arial" w:cs="Calibri"/>
          <w:bCs/>
          <w:sz w:val="16"/>
          <w:szCs w:val="26"/>
          <w:lang w:eastAsia="de-DE"/>
        </w:rPr>
        <w:t xml:space="preserve">Seit 2016 bietet das gemeinsame Dienstleistungsunternehmen der Wilken Software Group und der Aachener FACTUR </w:t>
      </w:r>
      <w:proofErr w:type="spellStart"/>
      <w:r>
        <w:rPr>
          <w:rFonts w:ascii="Arial" w:hAnsi="Arial" w:cs="Calibri"/>
          <w:bCs/>
          <w:sz w:val="16"/>
          <w:szCs w:val="26"/>
          <w:lang w:eastAsia="de-DE"/>
        </w:rPr>
        <w:t>Billing</w:t>
      </w:r>
      <w:proofErr w:type="spellEnd"/>
      <w:r>
        <w:rPr>
          <w:rFonts w:ascii="Arial" w:hAnsi="Arial" w:cs="Calibri"/>
          <w:bCs/>
          <w:sz w:val="16"/>
          <w:szCs w:val="26"/>
          <w:lang w:eastAsia="de-DE"/>
        </w:rPr>
        <w:t xml:space="preserve"> Solutions GmbH </w:t>
      </w:r>
      <w:r w:rsidRPr="00312EF5">
        <w:rPr>
          <w:rFonts w:ascii="Arial" w:hAnsi="Arial" w:cs="Calibri"/>
          <w:bCs/>
          <w:sz w:val="16"/>
          <w:szCs w:val="26"/>
          <w:lang w:eastAsia="de-DE"/>
        </w:rPr>
        <w:t xml:space="preserve">ein umfassendes Dienstleistungsportfolio für die Produktfamilien Wilken ENER:GY und </w:t>
      </w:r>
      <w:proofErr w:type="spellStart"/>
      <w:r w:rsidRPr="00312EF5">
        <w:rPr>
          <w:rFonts w:ascii="Arial" w:hAnsi="Arial" w:cs="Calibri"/>
          <w:bCs/>
          <w:sz w:val="16"/>
          <w:szCs w:val="26"/>
          <w:lang w:eastAsia="de-DE"/>
        </w:rPr>
        <w:t>NTS.suite</w:t>
      </w:r>
      <w:proofErr w:type="spellEnd"/>
      <w:r w:rsidRPr="00312EF5">
        <w:rPr>
          <w:rFonts w:ascii="Arial" w:hAnsi="Arial" w:cs="Calibri"/>
          <w:bCs/>
          <w:sz w:val="16"/>
          <w:szCs w:val="26"/>
          <w:lang w:eastAsia="de-DE"/>
        </w:rPr>
        <w:t xml:space="preserve"> an.</w:t>
      </w:r>
      <w:r w:rsidRPr="00312EF5">
        <w:t xml:space="preserve"> </w:t>
      </w:r>
      <w:r w:rsidRPr="00312EF5">
        <w:rPr>
          <w:rFonts w:ascii="Arial" w:hAnsi="Arial" w:cs="Calibri"/>
          <w:bCs/>
          <w:sz w:val="16"/>
          <w:szCs w:val="26"/>
          <w:lang w:eastAsia="de-DE"/>
        </w:rPr>
        <w:t xml:space="preserve">Von der Ad-hoc-Unterstützung bis hin zum Full-Service-Angebot nutzen Kunden </w:t>
      </w:r>
      <w:r>
        <w:rPr>
          <w:rFonts w:ascii="Arial" w:hAnsi="Arial" w:cs="Calibri"/>
          <w:bCs/>
          <w:sz w:val="16"/>
          <w:szCs w:val="26"/>
          <w:lang w:eastAsia="de-DE"/>
        </w:rPr>
        <w:t>die Prozessd</w:t>
      </w:r>
      <w:r w:rsidRPr="00312EF5">
        <w:rPr>
          <w:rFonts w:ascii="Arial" w:hAnsi="Arial" w:cs="Calibri"/>
          <w:bCs/>
          <w:sz w:val="16"/>
          <w:szCs w:val="26"/>
          <w:lang w:eastAsia="de-DE"/>
        </w:rPr>
        <w:t>ienstleistung</w:t>
      </w:r>
      <w:r>
        <w:rPr>
          <w:rFonts w:ascii="Arial" w:hAnsi="Arial" w:cs="Calibri"/>
          <w:bCs/>
          <w:sz w:val="16"/>
          <w:szCs w:val="26"/>
          <w:lang w:eastAsia="de-DE"/>
        </w:rPr>
        <w:t xml:space="preserve">en </w:t>
      </w:r>
      <w:r w:rsidRPr="00312EF5">
        <w:rPr>
          <w:rFonts w:ascii="Arial" w:hAnsi="Arial" w:cs="Calibri"/>
          <w:bCs/>
          <w:sz w:val="16"/>
          <w:szCs w:val="26"/>
          <w:lang w:eastAsia="de-DE"/>
        </w:rPr>
        <w:t>direkt vom Softwareanbieter.</w:t>
      </w:r>
      <w:r w:rsidRPr="00312EF5">
        <w:t xml:space="preserve"> </w:t>
      </w:r>
      <w:r w:rsidRPr="00312EF5">
        <w:rPr>
          <w:rFonts w:ascii="Arial" w:hAnsi="Arial" w:cs="Calibri"/>
          <w:bCs/>
          <w:sz w:val="16"/>
          <w:szCs w:val="26"/>
          <w:lang w:eastAsia="de-DE"/>
        </w:rPr>
        <w:t>Kunden sind Stadt- und Gemeindewerke, die in den energiewirtschaftlichen Marktrollen Lieferant, Netzbetreiber und Messstellenbetreiber tätig sind, sowie bundesweit agierende Energievertriebe.</w:t>
      </w:r>
      <w:r>
        <w:rPr>
          <w:rFonts w:ascii="Arial" w:hAnsi="Arial" w:cs="Calibri"/>
          <w:bCs/>
          <w:sz w:val="16"/>
          <w:szCs w:val="26"/>
          <w:lang w:eastAsia="de-DE"/>
        </w:rPr>
        <w:t xml:space="preserve"> Der Bedarf der Kunden steht im Mittelpunkt. Wilken PRO-Kunden profitieren vom IT- und Prozess-Knowhow, denn das IT-System und die Abwicklung von Geschäftsfällen kommen aus einer Hand.</w:t>
      </w:r>
    </w:p>
    <w:p w14:paraId="615863D1" w14:textId="5C9B8591" w:rsidR="00FE48A6" w:rsidRPr="00A8158F" w:rsidRDefault="00FE48A6" w:rsidP="0007296F">
      <w:pPr>
        <w:spacing w:line="240" w:lineRule="auto"/>
        <w:ind w:right="-1701"/>
        <w:rPr>
          <w:rFonts w:ascii="Arial" w:hAnsi="Arial" w:cs="Calibri"/>
          <w:sz w:val="16"/>
          <w:szCs w:val="26"/>
          <w:lang w:eastAsia="de-DE"/>
        </w:rPr>
      </w:pPr>
    </w:p>
    <w:sectPr w:rsidR="00FE48A6" w:rsidRPr="00A8158F" w:rsidSect="00F646AC">
      <w:headerReference w:type="default" r:id="rId11"/>
      <w:footerReference w:type="even" r:id="rId12"/>
      <w:footerReference w:type="default" r:id="rId13"/>
      <w:pgSz w:w="11906" w:h="16838"/>
      <w:pgMar w:top="2205" w:right="3400" w:bottom="1103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845F5A" w14:textId="77777777" w:rsidR="005339E9" w:rsidRDefault="005339E9">
      <w:r>
        <w:separator/>
      </w:r>
    </w:p>
  </w:endnote>
  <w:endnote w:type="continuationSeparator" w:id="0">
    <w:p w14:paraId="43C71494" w14:textId="77777777" w:rsidR="005339E9" w:rsidRDefault="00533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altName w:val="Arial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A59F3F" w14:textId="77777777" w:rsidR="003A43A2" w:rsidRDefault="003A43A2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10DB2E79" w14:textId="77777777" w:rsidR="003A43A2" w:rsidRDefault="003A43A2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ED6821" w14:textId="3AD0B1DC" w:rsidR="003A43A2" w:rsidRDefault="003A43A2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B00584" w14:textId="77777777" w:rsidR="005339E9" w:rsidRDefault="005339E9">
      <w:r>
        <w:separator/>
      </w:r>
    </w:p>
  </w:footnote>
  <w:footnote w:type="continuationSeparator" w:id="0">
    <w:p w14:paraId="0D941EA1" w14:textId="77777777" w:rsidR="005339E9" w:rsidRDefault="005339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EBBE6D" w14:textId="7C97954A" w:rsidR="003A43A2" w:rsidRDefault="0086537E" w:rsidP="0086537E">
    <w:pPr>
      <w:pStyle w:val="Kopfzeile"/>
      <w:tabs>
        <w:tab w:val="clear" w:pos="4536"/>
        <w:tab w:val="clear" w:pos="9072"/>
        <w:tab w:val="right" w:pos="9639"/>
      </w:tabs>
      <w:ind w:right="-2268"/>
    </w:pPr>
    <w:r>
      <w:rPr>
        <w:noProof/>
        <w:lang w:eastAsia="de-DE"/>
      </w:rPr>
      <w:drawing>
        <wp:inline distT="0" distB="0" distL="0" distR="0" wp14:anchorId="78CADD75" wp14:editId="199EC353">
          <wp:extent cx="1591180" cy="583005"/>
          <wp:effectExtent l="0" t="0" r="9525" b="1270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ACTUR_logo_mit claim_4C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8717" cy="6260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 w:rsidR="00560751">
      <w:rPr>
        <w:noProof/>
        <w:lang w:eastAsia="de-DE"/>
      </w:rPr>
      <w:drawing>
        <wp:inline distT="0" distB="0" distL="0" distR="0" wp14:anchorId="773EA219" wp14:editId="6E51B5E4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ofware-group_CMYK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9E6452" w14:textId="77777777" w:rsidR="003A43A2" w:rsidRPr="00C63EE6" w:rsidRDefault="003A43A2" w:rsidP="00FE48A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0004"/>
    <w:multiLevelType w:val="hybridMultilevel"/>
    <w:tmpl w:val="00000004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6"/>
  </w:num>
  <w:num w:numId="4">
    <w:abstractNumId w:val="5"/>
  </w:num>
  <w:num w:numId="5">
    <w:abstractNumId w:val="1"/>
  </w:num>
  <w:num w:numId="6">
    <w:abstractNumId w:val="2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31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476"/>
    <w:rsid w:val="000017B9"/>
    <w:rsid w:val="0000454B"/>
    <w:rsid w:val="00011F67"/>
    <w:rsid w:val="000120D4"/>
    <w:rsid w:val="0002098E"/>
    <w:rsid w:val="000231F9"/>
    <w:rsid w:val="0002498B"/>
    <w:rsid w:val="00032F50"/>
    <w:rsid w:val="00034755"/>
    <w:rsid w:val="00036B01"/>
    <w:rsid w:val="00040D86"/>
    <w:rsid w:val="00044252"/>
    <w:rsid w:val="00045258"/>
    <w:rsid w:val="0005086D"/>
    <w:rsid w:val="00051FB3"/>
    <w:rsid w:val="00060F4F"/>
    <w:rsid w:val="00064DC6"/>
    <w:rsid w:val="000712DC"/>
    <w:rsid w:val="0007296F"/>
    <w:rsid w:val="000734D1"/>
    <w:rsid w:val="000809E7"/>
    <w:rsid w:val="00084334"/>
    <w:rsid w:val="00093AA5"/>
    <w:rsid w:val="00093DA4"/>
    <w:rsid w:val="00097330"/>
    <w:rsid w:val="000A0A44"/>
    <w:rsid w:val="000A6D42"/>
    <w:rsid w:val="000B2038"/>
    <w:rsid w:val="000B5AD9"/>
    <w:rsid w:val="000C0569"/>
    <w:rsid w:val="000C08EF"/>
    <w:rsid w:val="000C13A4"/>
    <w:rsid w:val="000C2BB8"/>
    <w:rsid w:val="000C313B"/>
    <w:rsid w:val="000D5A8E"/>
    <w:rsid w:val="000D5FE9"/>
    <w:rsid w:val="000E1307"/>
    <w:rsid w:val="000E1A90"/>
    <w:rsid w:val="000E3F08"/>
    <w:rsid w:val="000E5D79"/>
    <w:rsid w:val="000F6D38"/>
    <w:rsid w:val="00102BB9"/>
    <w:rsid w:val="001062CD"/>
    <w:rsid w:val="00106410"/>
    <w:rsid w:val="00107620"/>
    <w:rsid w:val="00114F49"/>
    <w:rsid w:val="00122695"/>
    <w:rsid w:val="00122B29"/>
    <w:rsid w:val="00122F47"/>
    <w:rsid w:val="0012491E"/>
    <w:rsid w:val="001265F4"/>
    <w:rsid w:val="00127E87"/>
    <w:rsid w:val="001307C5"/>
    <w:rsid w:val="00135DEE"/>
    <w:rsid w:val="00152D07"/>
    <w:rsid w:val="00161C14"/>
    <w:rsid w:val="00165471"/>
    <w:rsid w:val="001708FB"/>
    <w:rsid w:val="00172559"/>
    <w:rsid w:val="00175745"/>
    <w:rsid w:val="001858F8"/>
    <w:rsid w:val="001934AC"/>
    <w:rsid w:val="00194E4F"/>
    <w:rsid w:val="001A2076"/>
    <w:rsid w:val="001A4984"/>
    <w:rsid w:val="001A4F25"/>
    <w:rsid w:val="001A6E8C"/>
    <w:rsid w:val="001B1862"/>
    <w:rsid w:val="001C58AF"/>
    <w:rsid w:val="001C6862"/>
    <w:rsid w:val="001D12AA"/>
    <w:rsid w:val="001E0FCA"/>
    <w:rsid w:val="001E200F"/>
    <w:rsid w:val="00201445"/>
    <w:rsid w:val="0020754A"/>
    <w:rsid w:val="00233A0E"/>
    <w:rsid w:val="002556E7"/>
    <w:rsid w:val="00255DA7"/>
    <w:rsid w:val="00272362"/>
    <w:rsid w:val="00275197"/>
    <w:rsid w:val="002A28CE"/>
    <w:rsid w:val="002A2F6F"/>
    <w:rsid w:val="002A325F"/>
    <w:rsid w:val="002A560E"/>
    <w:rsid w:val="002B275A"/>
    <w:rsid w:val="002C201B"/>
    <w:rsid w:val="002C40A1"/>
    <w:rsid w:val="002C5994"/>
    <w:rsid w:val="002D0338"/>
    <w:rsid w:val="002D19F2"/>
    <w:rsid w:val="002D1F28"/>
    <w:rsid w:val="002D28F5"/>
    <w:rsid w:val="002D6683"/>
    <w:rsid w:val="002E1BC0"/>
    <w:rsid w:val="002E3420"/>
    <w:rsid w:val="002F2919"/>
    <w:rsid w:val="00300A9B"/>
    <w:rsid w:val="0031677D"/>
    <w:rsid w:val="003179A3"/>
    <w:rsid w:val="00324F5C"/>
    <w:rsid w:val="00331070"/>
    <w:rsid w:val="00333E51"/>
    <w:rsid w:val="003365AB"/>
    <w:rsid w:val="003374A5"/>
    <w:rsid w:val="003427FC"/>
    <w:rsid w:val="003467EA"/>
    <w:rsid w:val="003551F7"/>
    <w:rsid w:val="00357CD4"/>
    <w:rsid w:val="00363C56"/>
    <w:rsid w:val="00366E84"/>
    <w:rsid w:val="0037633E"/>
    <w:rsid w:val="0037651F"/>
    <w:rsid w:val="00376B33"/>
    <w:rsid w:val="00381970"/>
    <w:rsid w:val="0038387B"/>
    <w:rsid w:val="003A1A5E"/>
    <w:rsid w:val="003A1B6D"/>
    <w:rsid w:val="003A43A2"/>
    <w:rsid w:val="003A775C"/>
    <w:rsid w:val="003B3C72"/>
    <w:rsid w:val="003C2165"/>
    <w:rsid w:val="003D008D"/>
    <w:rsid w:val="003D4335"/>
    <w:rsid w:val="003D55A3"/>
    <w:rsid w:val="003D7800"/>
    <w:rsid w:val="003E10C2"/>
    <w:rsid w:val="003E189B"/>
    <w:rsid w:val="003E1CF6"/>
    <w:rsid w:val="003E33CC"/>
    <w:rsid w:val="003E6D9C"/>
    <w:rsid w:val="003F3403"/>
    <w:rsid w:val="003F5021"/>
    <w:rsid w:val="003F55EF"/>
    <w:rsid w:val="004043AF"/>
    <w:rsid w:val="004054D6"/>
    <w:rsid w:val="00406728"/>
    <w:rsid w:val="00406D81"/>
    <w:rsid w:val="004106F1"/>
    <w:rsid w:val="00410CD5"/>
    <w:rsid w:val="004110F6"/>
    <w:rsid w:val="00425307"/>
    <w:rsid w:val="00425A22"/>
    <w:rsid w:val="00425E5F"/>
    <w:rsid w:val="00430C7E"/>
    <w:rsid w:val="00432E47"/>
    <w:rsid w:val="00443ABA"/>
    <w:rsid w:val="004473FD"/>
    <w:rsid w:val="00450DE1"/>
    <w:rsid w:val="00457490"/>
    <w:rsid w:val="00464B03"/>
    <w:rsid w:val="00470089"/>
    <w:rsid w:val="0047100F"/>
    <w:rsid w:val="004712B6"/>
    <w:rsid w:val="0047489E"/>
    <w:rsid w:val="00477E0F"/>
    <w:rsid w:val="004851B3"/>
    <w:rsid w:val="0048658B"/>
    <w:rsid w:val="004909C2"/>
    <w:rsid w:val="00493267"/>
    <w:rsid w:val="004A2502"/>
    <w:rsid w:val="004A32B5"/>
    <w:rsid w:val="004A76DC"/>
    <w:rsid w:val="004B3F00"/>
    <w:rsid w:val="004B6B57"/>
    <w:rsid w:val="004C24AD"/>
    <w:rsid w:val="004C38CC"/>
    <w:rsid w:val="004C3D16"/>
    <w:rsid w:val="004D08E4"/>
    <w:rsid w:val="004D42F9"/>
    <w:rsid w:val="004E2379"/>
    <w:rsid w:val="004E5964"/>
    <w:rsid w:val="004F2F02"/>
    <w:rsid w:val="004F79BE"/>
    <w:rsid w:val="00501E82"/>
    <w:rsid w:val="0050632B"/>
    <w:rsid w:val="00511390"/>
    <w:rsid w:val="00511F1D"/>
    <w:rsid w:val="00513A25"/>
    <w:rsid w:val="00517604"/>
    <w:rsid w:val="00521E09"/>
    <w:rsid w:val="005246FF"/>
    <w:rsid w:val="0053141F"/>
    <w:rsid w:val="00531455"/>
    <w:rsid w:val="005339E9"/>
    <w:rsid w:val="00535049"/>
    <w:rsid w:val="00535FC2"/>
    <w:rsid w:val="00542FDF"/>
    <w:rsid w:val="005519C2"/>
    <w:rsid w:val="0055421E"/>
    <w:rsid w:val="00554B3C"/>
    <w:rsid w:val="00557525"/>
    <w:rsid w:val="00557659"/>
    <w:rsid w:val="00560751"/>
    <w:rsid w:val="005639AD"/>
    <w:rsid w:val="00565FD4"/>
    <w:rsid w:val="00574C52"/>
    <w:rsid w:val="00575F36"/>
    <w:rsid w:val="00576B32"/>
    <w:rsid w:val="00583BF7"/>
    <w:rsid w:val="0058795D"/>
    <w:rsid w:val="00590B04"/>
    <w:rsid w:val="005937FF"/>
    <w:rsid w:val="005954F6"/>
    <w:rsid w:val="00595CF3"/>
    <w:rsid w:val="0059648C"/>
    <w:rsid w:val="005B1A8D"/>
    <w:rsid w:val="005C2A65"/>
    <w:rsid w:val="005D06AC"/>
    <w:rsid w:val="005D23B7"/>
    <w:rsid w:val="005D7181"/>
    <w:rsid w:val="005E006B"/>
    <w:rsid w:val="005E0C32"/>
    <w:rsid w:val="005E6CA3"/>
    <w:rsid w:val="005F2C2F"/>
    <w:rsid w:val="005F375D"/>
    <w:rsid w:val="005F3918"/>
    <w:rsid w:val="00602C64"/>
    <w:rsid w:val="0060646D"/>
    <w:rsid w:val="00614428"/>
    <w:rsid w:val="00617317"/>
    <w:rsid w:val="006205F9"/>
    <w:rsid w:val="00627AF1"/>
    <w:rsid w:val="00632098"/>
    <w:rsid w:val="00644E9F"/>
    <w:rsid w:val="00645730"/>
    <w:rsid w:val="0065377A"/>
    <w:rsid w:val="006568C1"/>
    <w:rsid w:val="00667CBE"/>
    <w:rsid w:val="00675809"/>
    <w:rsid w:val="0067633A"/>
    <w:rsid w:val="00676FF5"/>
    <w:rsid w:val="00680F83"/>
    <w:rsid w:val="00683DFE"/>
    <w:rsid w:val="00686574"/>
    <w:rsid w:val="00693603"/>
    <w:rsid w:val="006963F7"/>
    <w:rsid w:val="006A0673"/>
    <w:rsid w:val="006B0312"/>
    <w:rsid w:val="006B4311"/>
    <w:rsid w:val="006B72FA"/>
    <w:rsid w:val="006D435A"/>
    <w:rsid w:val="006E468B"/>
    <w:rsid w:val="006E5937"/>
    <w:rsid w:val="006F671F"/>
    <w:rsid w:val="006F6C95"/>
    <w:rsid w:val="00701BD4"/>
    <w:rsid w:val="00703D0F"/>
    <w:rsid w:val="00726214"/>
    <w:rsid w:val="00727A6D"/>
    <w:rsid w:val="00731FA2"/>
    <w:rsid w:val="00733F48"/>
    <w:rsid w:val="0073656F"/>
    <w:rsid w:val="007367F7"/>
    <w:rsid w:val="00737E3A"/>
    <w:rsid w:val="00741F98"/>
    <w:rsid w:val="00742609"/>
    <w:rsid w:val="00746812"/>
    <w:rsid w:val="00752F6B"/>
    <w:rsid w:val="0075523B"/>
    <w:rsid w:val="00757073"/>
    <w:rsid w:val="0076126F"/>
    <w:rsid w:val="007645FC"/>
    <w:rsid w:val="00764A09"/>
    <w:rsid w:val="00770008"/>
    <w:rsid w:val="007706D1"/>
    <w:rsid w:val="00772476"/>
    <w:rsid w:val="00772CA2"/>
    <w:rsid w:val="00774940"/>
    <w:rsid w:val="00783CEE"/>
    <w:rsid w:val="00791F82"/>
    <w:rsid w:val="00793AB8"/>
    <w:rsid w:val="007A2057"/>
    <w:rsid w:val="007A7943"/>
    <w:rsid w:val="007B062F"/>
    <w:rsid w:val="007B0E4F"/>
    <w:rsid w:val="007B3944"/>
    <w:rsid w:val="007C1274"/>
    <w:rsid w:val="007C3695"/>
    <w:rsid w:val="007C3EFB"/>
    <w:rsid w:val="007C423A"/>
    <w:rsid w:val="007C5A78"/>
    <w:rsid w:val="007D2289"/>
    <w:rsid w:val="007D7109"/>
    <w:rsid w:val="007E1E5C"/>
    <w:rsid w:val="007E37CB"/>
    <w:rsid w:val="007E4F05"/>
    <w:rsid w:val="007F7D4A"/>
    <w:rsid w:val="00803D59"/>
    <w:rsid w:val="00803F01"/>
    <w:rsid w:val="00804587"/>
    <w:rsid w:val="00810294"/>
    <w:rsid w:val="00811D53"/>
    <w:rsid w:val="0081245E"/>
    <w:rsid w:val="008158C2"/>
    <w:rsid w:val="008165E8"/>
    <w:rsid w:val="00823230"/>
    <w:rsid w:val="00823A31"/>
    <w:rsid w:val="00826D45"/>
    <w:rsid w:val="00827D4C"/>
    <w:rsid w:val="008331D8"/>
    <w:rsid w:val="0083770B"/>
    <w:rsid w:val="00841F5A"/>
    <w:rsid w:val="0084392B"/>
    <w:rsid w:val="00845B68"/>
    <w:rsid w:val="008474DE"/>
    <w:rsid w:val="00853823"/>
    <w:rsid w:val="00853940"/>
    <w:rsid w:val="00863D68"/>
    <w:rsid w:val="0086537E"/>
    <w:rsid w:val="00876EA4"/>
    <w:rsid w:val="00877DFE"/>
    <w:rsid w:val="0088157B"/>
    <w:rsid w:val="008825F3"/>
    <w:rsid w:val="0088514D"/>
    <w:rsid w:val="008852F2"/>
    <w:rsid w:val="00887F56"/>
    <w:rsid w:val="00894092"/>
    <w:rsid w:val="00894BE0"/>
    <w:rsid w:val="008A1779"/>
    <w:rsid w:val="008A57BB"/>
    <w:rsid w:val="008B4462"/>
    <w:rsid w:val="008B5B1E"/>
    <w:rsid w:val="008B61B8"/>
    <w:rsid w:val="008B69E2"/>
    <w:rsid w:val="008B6D73"/>
    <w:rsid w:val="008C5997"/>
    <w:rsid w:val="008D3090"/>
    <w:rsid w:val="008D392D"/>
    <w:rsid w:val="008D69FD"/>
    <w:rsid w:val="008E6C77"/>
    <w:rsid w:val="008E7255"/>
    <w:rsid w:val="008E7A17"/>
    <w:rsid w:val="008F07C1"/>
    <w:rsid w:val="008F2039"/>
    <w:rsid w:val="008F2D96"/>
    <w:rsid w:val="008F68EF"/>
    <w:rsid w:val="00902719"/>
    <w:rsid w:val="00903A51"/>
    <w:rsid w:val="009043EE"/>
    <w:rsid w:val="009115B8"/>
    <w:rsid w:val="009115EF"/>
    <w:rsid w:val="00916458"/>
    <w:rsid w:val="00920D2B"/>
    <w:rsid w:val="00921B7A"/>
    <w:rsid w:val="009231B2"/>
    <w:rsid w:val="0093086E"/>
    <w:rsid w:val="009333FD"/>
    <w:rsid w:val="0093375E"/>
    <w:rsid w:val="009378C5"/>
    <w:rsid w:val="00943667"/>
    <w:rsid w:val="0094403C"/>
    <w:rsid w:val="00946420"/>
    <w:rsid w:val="00947BDC"/>
    <w:rsid w:val="00947D6A"/>
    <w:rsid w:val="009520FE"/>
    <w:rsid w:val="00955740"/>
    <w:rsid w:val="00957B40"/>
    <w:rsid w:val="00961AD9"/>
    <w:rsid w:val="009668A5"/>
    <w:rsid w:val="00970937"/>
    <w:rsid w:val="00971D24"/>
    <w:rsid w:val="00973837"/>
    <w:rsid w:val="00974EB5"/>
    <w:rsid w:val="00980D69"/>
    <w:rsid w:val="00984451"/>
    <w:rsid w:val="00984EEC"/>
    <w:rsid w:val="009873C5"/>
    <w:rsid w:val="009950DB"/>
    <w:rsid w:val="009A30BF"/>
    <w:rsid w:val="009A5237"/>
    <w:rsid w:val="009A7A52"/>
    <w:rsid w:val="009B0EFC"/>
    <w:rsid w:val="009B1B65"/>
    <w:rsid w:val="009B6694"/>
    <w:rsid w:val="009C35DE"/>
    <w:rsid w:val="009C49C3"/>
    <w:rsid w:val="009C6A33"/>
    <w:rsid w:val="009C7BF7"/>
    <w:rsid w:val="009D13B6"/>
    <w:rsid w:val="009D20BB"/>
    <w:rsid w:val="009D22FE"/>
    <w:rsid w:val="009F1031"/>
    <w:rsid w:val="00A0122C"/>
    <w:rsid w:val="00A030F2"/>
    <w:rsid w:val="00A04A73"/>
    <w:rsid w:val="00A05B80"/>
    <w:rsid w:val="00A0763D"/>
    <w:rsid w:val="00A10E4F"/>
    <w:rsid w:val="00A12303"/>
    <w:rsid w:val="00A12E20"/>
    <w:rsid w:val="00A14223"/>
    <w:rsid w:val="00A2701C"/>
    <w:rsid w:val="00A30045"/>
    <w:rsid w:val="00A30D0F"/>
    <w:rsid w:val="00A31345"/>
    <w:rsid w:val="00A3451E"/>
    <w:rsid w:val="00A363D4"/>
    <w:rsid w:val="00A51F3A"/>
    <w:rsid w:val="00A56D07"/>
    <w:rsid w:val="00A604E8"/>
    <w:rsid w:val="00A6101D"/>
    <w:rsid w:val="00A65506"/>
    <w:rsid w:val="00A6600D"/>
    <w:rsid w:val="00A67754"/>
    <w:rsid w:val="00A73AC3"/>
    <w:rsid w:val="00A77BBC"/>
    <w:rsid w:val="00A8158F"/>
    <w:rsid w:val="00A85E92"/>
    <w:rsid w:val="00A90BD3"/>
    <w:rsid w:val="00A92B64"/>
    <w:rsid w:val="00A93F42"/>
    <w:rsid w:val="00A941BA"/>
    <w:rsid w:val="00AA1540"/>
    <w:rsid w:val="00AA18D7"/>
    <w:rsid w:val="00AA2FE1"/>
    <w:rsid w:val="00AA7575"/>
    <w:rsid w:val="00AB63C5"/>
    <w:rsid w:val="00AB7591"/>
    <w:rsid w:val="00AD2F71"/>
    <w:rsid w:val="00AF1D9E"/>
    <w:rsid w:val="00B12792"/>
    <w:rsid w:val="00B15DE7"/>
    <w:rsid w:val="00B1628C"/>
    <w:rsid w:val="00B2745D"/>
    <w:rsid w:val="00B33354"/>
    <w:rsid w:val="00B4126D"/>
    <w:rsid w:val="00B441DE"/>
    <w:rsid w:val="00B44A41"/>
    <w:rsid w:val="00B473D3"/>
    <w:rsid w:val="00B54F30"/>
    <w:rsid w:val="00B60D5B"/>
    <w:rsid w:val="00B62065"/>
    <w:rsid w:val="00B63171"/>
    <w:rsid w:val="00B67855"/>
    <w:rsid w:val="00B81E71"/>
    <w:rsid w:val="00B86EC2"/>
    <w:rsid w:val="00B87471"/>
    <w:rsid w:val="00BA5FB0"/>
    <w:rsid w:val="00BA7303"/>
    <w:rsid w:val="00BB487D"/>
    <w:rsid w:val="00BC2F70"/>
    <w:rsid w:val="00BC2F7F"/>
    <w:rsid w:val="00BC5768"/>
    <w:rsid w:val="00BC7023"/>
    <w:rsid w:val="00BE053E"/>
    <w:rsid w:val="00BE1471"/>
    <w:rsid w:val="00BE5B4A"/>
    <w:rsid w:val="00BF00B8"/>
    <w:rsid w:val="00BF70C0"/>
    <w:rsid w:val="00C00270"/>
    <w:rsid w:val="00C0359B"/>
    <w:rsid w:val="00C040DB"/>
    <w:rsid w:val="00C11718"/>
    <w:rsid w:val="00C124D1"/>
    <w:rsid w:val="00C1689D"/>
    <w:rsid w:val="00C209C4"/>
    <w:rsid w:val="00C21E2B"/>
    <w:rsid w:val="00C25852"/>
    <w:rsid w:val="00C27B15"/>
    <w:rsid w:val="00C340EF"/>
    <w:rsid w:val="00C368EB"/>
    <w:rsid w:val="00C51C55"/>
    <w:rsid w:val="00C6146F"/>
    <w:rsid w:val="00C6183F"/>
    <w:rsid w:val="00C62E40"/>
    <w:rsid w:val="00C73CA9"/>
    <w:rsid w:val="00C7604D"/>
    <w:rsid w:val="00C83E25"/>
    <w:rsid w:val="00C92D70"/>
    <w:rsid w:val="00C96BC2"/>
    <w:rsid w:val="00CA2704"/>
    <w:rsid w:val="00CA42DD"/>
    <w:rsid w:val="00CB0206"/>
    <w:rsid w:val="00CB6344"/>
    <w:rsid w:val="00CB64A2"/>
    <w:rsid w:val="00CC42D5"/>
    <w:rsid w:val="00CD1E40"/>
    <w:rsid w:val="00CD395A"/>
    <w:rsid w:val="00CE4B1C"/>
    <w:rsid w:val="00CF4E1F"/>
    <w:rsid w:val="00D0021E"/>
    <w:rsid w:val="00D065C6"/>
    <w:rsid w:val="00D13CB5"/>
    <w:rsid w:val="00D14752"/>
    <w:rsid w:val="00D165F1"/>
    <w:rsid w:val="00D20DFE"/>
    <w:rsid w:val="00D21A51"/>
    <w:rsid w:val="00D245CE"/>
    <w:rsid w:val="00D26FA2"/>
    <w:rsid w:val="00D35749"/>
    <w:rsid w:val="00D35F0E"/>
    <w:rsid w:val="00D4794B"/>
    <w:rsid w:val="00D500C9"/>
    <w:rsid w:val="00D50D14"/>
    <w:rsid w:val="00D52F3D"/>
    <w:rsid w:val="00D5304C"/>
    <w:rsid w:val="00D53DA2"/>
    <w:rsid w:val="00D76DC4"/>
    <w:rsid w:val="00D77FE4"/>
    <w:rsid w:val="00D805A3"/>
    <w:rsid w:val="00D923CC"/>
    <w:rsid w:val="00D95B01"/>
    <w:rsid w:val="00DA2579"/>
    <w:rsid w:val="00DA3F70"/>
    <w:rsid w:val="00DA4F82"/>
    <w:rsid w:val="00DB0CE5"/>
    <w:rsid w:val="00DB2C74"/>
    <w:rsid w:val="00DB4016"/>
    <w:rsid w:val="00DC7643"/>
    <w:rsid w:val="00DD02CF"/>
    <w:rsid w:val="00DD59B6"/>
    <w:rsid w:val="00DE1531"/>
    <w:rsid w:val="00DE2EB6"/>
    <w:rsid w:val="00DF68C5"/>
    <w:rsid w:val="00E00BE3"/>
    <w:rsid w:val="00E02730"/>
    <w:rsid w:val="00E0302D"/>
    <w:rsid w:val="00E3393D"/>
    <w:rsid w:val="00E34875"/>
    <w:rsid w:val="00E37B54"/>
    <w:rsid w:val="00E409DF"/>
    <w:rsid w:val="00E44651"/>
    <w:rsid w:val="00E47E25"/>
    <w:rsid w:val="00E54882"/>
    <w:rsid w:val="00E62903"/>
    <w:rsid w:val="00E62CBD"/>
    <w:rsid w:val="00E662AC"/>
    <w:rsid w:val="00E708E0"/>
    <w:rsid w:val="00E75DE6"/>
    <w:rsid w:val="00E83A83"/>
    <w:rsid w:val="00E915CC"/>
    <w:rsid w:val="00EA0E6E"/>
    <w:rsid w:val="00EA6E0C"/>
    <w:rsid w:val="00EA755D"/>
    <w:rsid w:val="00EB026E"/>
    <w:rsid w:val="00EB220A"/>
    <w:rsid w:val="00EB600F"/>
    <w:rsid w:val="00EB77F7"/>
    <w:rsid w:val="00EC14F0"/>
    <w:rsid w:val="00EC1DDA"/>
    <w:rsid w:val="00EC38DA"/>
    <w:rsid w:val="00ED247E"/>
    <w:rsid w:val="00ED53FF"/>
    <w:rsid w:val="00EE15AD"/>
    <w:rsid w:val="00EE403A"/>
    <w:rsid w:val="00EE5A13"/>
    <w:rsid w:val="00EF01F7"/>
    <w:rsid w:val="00EF1566"/>
    <w:rsid w:val="00EF1E53"/>
    <w:rsid w:val="00F01468"/>
    <w:rsid w:val="00F122B4"/>
    <w:rsid w:val="00F23364"/>
    <w:rsid w:val="00F24A9D"/>
    <w:rsid w:val="00F24B57"/>
    <w:rsid w:val="00F254C3"/>
    <w:rsid w:val="00F3050A"/>
    <w:rsid w:val="00F42BC2"/>
    <w:rsid w:val="00F44C5C"/>
    <w:rsid w:val="00F47247"/>
    <w:rsid w:val="00F50498"/>
    <w:rsid w:val="00F55A89"/>
    <w:rsid w:val="00F5752D"/>
    <w:rsid w:val="00F61560"/>
    <w:rsid w:val="00F646AC"/>
    <w:rsid w:val="00F717EB"/>
    <w:rsid w:val="00F771FF"/>
    <w:rsid w:val="00F9031E"/>
    <w:rsid w:val="00F903C3"/>
    <w:rsid w:val="00F95D59"/>
    <w:rsid w:val="00F96E98"/>
    <w:rsid w:val="00FA13E1"/>
    <w:rsid w:val="00FA3705"/>
    <w:rsid w:val="00FA76E0"/>
    <w:rsid w:val="00FB0927"/>
    <w:rsid w:val="00FB1B50"/>
    <w:rsid w:val="00FB3528"/>
    <w:rsid w:val="00FB7D61"/>
    <w:rsid w:val="00FC18FD"/>
    <w:rsid w:val="00FD7591"/>
    <w:rsid w:val="00FE48A6"/>
    <w:rsid w:val="00FF33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2330A3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064DC6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C40A1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61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1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28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19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66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44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5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68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312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6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46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38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337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23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49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713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7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0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lken.de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presse@wilken.de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press-n-relation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upa@press-n-relations.de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485</Words>
  <Characters>3058</Characters>
  <Application>Microsoft Office Word</Application>
  <DocSecurity>0</DocSecurity>
  <Lines>25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Ulm, 8. Dezember 2017</vt:lpstr>
    </vt:vector>
  </TitlesOfParts>
  <Company>Press'n'Relations </Company>
  <LinksUpToDate>false</LinksUpToDate>
  <CharactersWithSpaces>3536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Uwe Pagel</cp:lastModifiedBy>
  <cp:revision>3</cp:revision>
  <cp:lastPrinted>2018-12-10T14:59:00Z</cp:lastPrinted>
  <dcterms:created xsi:type="dcterms:W3CDTF">2018-12-11T07:53:00Z</dcterms:created>
  <dcterms:modified xsi:type="dcterms:W3CDTF">2018-12-11T08:00:00Z</dcterms:modified>
</cp:coreProperties>
</file>