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499E57" w14:textId="77777777" w:rsidR="001F1F3A" w:rsidRPr="00B2745D" w:rsidRDefault="001F1F3A" w:rsidP="001F1F3A">
      <w:pPr>
        <w:ind w:right="-709"/>
        <w:outlineLvl w:val="0"/>
        <w:rPr>
          <w:b/>
        </w:rPr>
      </w:pPr>
      <w:r w:rsidRPr="00B2745D">
        <w:rPr>
          <w:b/>
        </w:rPr>
        <w:t xml:space="preserve">PRESSEINFORMATION </w:t>
      </w:r>
    </w:p>
    <w:p w14:paraId="744C2075" w14:textId="5E24C019" w:rsidR="001F1F3A" w:rsidRDefault="003847E6" w:rsidP="001F1F3A">
      <w:pPr>
        <w:ind w:right="-709"/>
        <w:outlineLvl w:val="0"/>
        <w:rPr>
          <w:sz w:val="20"/>
        </w:rPr>
      </w:pPr>
      <w:r>
        <w:rPr>
          <w:sz w:val="20"/>
        </w:rPr>
        <w:t>Aachen</w:t>
      </w:r>
      <w:r w:rsidR="001F1F3A">
        <w:rPr>
          <w:sz w:val="20"/>
        </w:rPr>
        <w:t>/</w:t>
      </w:r>
      <w:r w:rsidR="001F1F3A" w:rsidRPr="00B2745D">
        <w:rPr>
          <w:sz w:val="20"/>
        </w:rPr>
        <w:t xml:space="preserve">Ulm, </w:t>
      </w:r>
      <w:r w:rsidR="001F1F3A">
        <w:rPr>
          <w:sz w:val="20"/>
        </w:rPr>
        <w:t>1</w:t>
      </w:r>
      <w:r w:rsidR="00FA584B">
        <w:rPr>
          <w:sz w:val="20"/>
        </w:rPr>
        <w:t>5</w:t>
      </w:r>
      <w:r w:rsidR="001F1F3A">
        <w:rPr>
          <w:sz w:val="20"/>
        </w:rPr>
        <w:t xml:space="preserve">. </w:t>
      </w:r>
      <w:r>
        <w:rPr>
          <w:sz w:val="20"/>
        </w:rPr>
        <w:t>Oktober</w:t>
      </w:r>
      <w:r w:rsidR="001F1F3A">
        <w:rPr>
          <w:sz w:val="20"/>
        </w:rPr>
        <w:t xml:space="preserve"> 2020</w:t>
      </w:r>
    </w:p>
    <w:p w14:paraId="278612D4" w14:textId="5C60CA37" w:rsidR="001F1F3A" w:rsidRDefault="003847E6" w:rsidP="001F1F3A">
      <w:pPr>
        <w:ind w:right="-2126"/>
        <w:rPr>
          <w:b/>
          <w:bCs/>
        </w:rPr>
      </w:pPr>
      <w:r>
        <w:rPr>
          <w:b/>
          <w:bCs/>
          <w:sz w:val="28"/>
          <w:szCs w:val="28"/>
        </w:rPr>
        <w:t xml:space="preserve">Wilken PRO verlegt </w:t>
      </w:r>
      <w:r w:rsidR="00201ED0">
        <w:rPr>
          <w:b/>
          <w:bCs/>
          <w:sz w:val="28"/>
          <w:szCs w:val="28"/>
        </w:rPr>
        <w:t>Standort</w:t>
      </w:r>
      <w:r>
        <w:rPr>
          <w:b/>
          <w:bCs/>
          <w:sz w:val="28"/>
          <w:szCs w:val="28"/>
        </w:rPr>
        <w:t xml:space="preserve"> von Ulm nach Aachen </w:t>
      </w:r>
      <w:r w:rsidR="001F1F3A" w:rsidRPr="00DB7910">
        <w:rPr>
          <w:b/>
          <w:bCs/>
          <w:sz w:val="28"/>
          <w:szCs w:val="28"/>
        </w:rPr>
        <w:br/>
      </w:r>
      <w:r w:rsidRPr="003847E6">
        <w:rPr>
          <w:b/>
          <w:bCs/>
        </w:rPr>
        <w:t>Karl-Heinz Hatzig wird neuer Geschäftsführer</w:t>
      </w:r>
    </w:p>
    <w:p w14:paraId="5D1EE636" w14:textId="0AA116EC" w:rsidR="004B6F6F" w:rsidRDefault="00B00577" w:rsidP="004B6F6F">
      <w:pPr>
        <w:rPr>
          <w:b/>
          <w:bCs/>
          <w:sz w:val="20"/>
        </w:rPr>
      </w:pPr>
      <w:r>
        <w:rPr>
          <w:b/>
          <w:bCs/>
          <w:sz w:val="20"/>
        </w:rPr>
        <w:t>D</w:t>
      </w:r>
      <w:r w:rsidR="00796629">
        <w:rPr>
          <w:b/>
          <w:bCs/>
          <w:sz w:val="20"/>
        </w:rPr>
        <w:t>ie</w:t>
      </w:r>
      <w:r>
        <w:rPr>
          <w:b/>
          <w:bCs/>
          <w:sz w:val="20"/>
        </w:rPr>
        <w:t xml:space="preserve"> </w:t>
      </w:r>
      <w:r w:rsidRPr="00B00577">
        <w:rPr>
          <w:b/>
          <w:bCs/>
          <w:sz w:val="20"/>
        </w:rPr>
        <w:t xml:space="preserve">Wilken PRO </w:t>
      </w:r>
      <w:r>
        <w:rPr>
          <w:b/>
          <w:bCs/>
          <w:sz w:val="20"/>
        </w:rPr>
        <w:t xml:space="preserve">GmbH, die sich auf energiewirtschaftliche Prozessdienstleistungen konzentriert, verlagert ihren </w:t>
      </w:r>
      <w:r w:rsidRPr="00B00577">
        <w:rPr>
          <w:b/>
          <w:bCs/>
          <w:sz w:val="20"/>
        </w:rPr>
        <w:t xml:space="preserve">Standort </w:t>
      </w:r>
      <w:r>
        <w:rPr>
          <w:b/>
          <w:bCs/>
          <w:sz w:val="20"/>
        </w:rPr>
        <w:t xml:space="preserve">von Ulm </w:t>
      </w:r>
      <w:r w:rsidRPr="00B00577">
        <w:rPr>
          <w:b/>
          <w:bCs/>
          <w:sz w:val="20"/>
        </w:rPr>
        <w:t>nach Aachen</w:t>
      </w:r>
      <w:r>
        <w:rPr>
          <w:b/>
          <w:bCs/>
          <w:sz w:val="20"/>
        </w:rPr>
        <w:t>. Zudem</w:t>
      </w:r>
      <w:r w:rsidRPr="00B00577">
        <w:rPr>
          <w:b/>
          <w:bCs/>
          <w:sz w:val="20"/>
        </w:rPr>
        <w:t xml:space="preserve"> rückt </w:t>
      </w:r>
      <w:r>
        <w:rPr>
          <w:b/>
          <w:bCs/>
          <w:sz w:val="20"/>
        </w:rPr>
        <w:t xml:space="preserve">sie </w:t>
      </w:r>
      <w:r w:rsidRPr="00B00577">
        <w:rPr>
          <w:b/>
          <w:bCs/>
          <w:sz w:val="20"/>
        </w:rPr>
        <w:t xml:space="preserve">auch personell näher an die FACTUR </w:t>
      </w:r>
      <w:proofErr w:type="spellStart"/>
      <w:r w:rsidRPr="00B00577">
        <w:rPr>
          <w:b/>
          <w:bCs/>
          <w:sz w:val="20"/>
        </w:rPr>
        <w:t>Billing</w:t>
      </w:r>
      <w:proofErr w:type="spellEnd"/>
      <w:r w:rsidRPr="00B00577">
        <w:rPr>
          <w:b/>
          <w:bCs/>
          <w:sz w:val="20"/>
        </w:rPr>
        <w:t xml:space="preserve"> Solutions GmbH in Aachen heran: Zum 16. Oktober 2020 </w:t>
      </w:r>
      <w:r w:rsidR="00C530CE">
        <w:rPr>
          <w:b/>
          <w:bCs/>
          <w:sz w:val="20"/>
        </w:rPr>
        <w:t>hat</w:t>
      </w:r>
      <w:r w:rsidRPr="00B00577">
        <w:rPr>
          <w:b/>
          <w:bCs/>
          <w:sz w:val="20"/>
        </w:rPr>
        <w:t xml:space="preserve"> </w:t>
      </w:r>
      <w:r>
        <w:rPr>
          <w:b/>
          <w:bCs/>
          <w:sz w:val="20"/>
        </w:rPr>
        <w:t>FACTUR-Gesch</w:t>
      </w:r>
      <w:r w:rsidR="004B6F6F">
        <w:rPr>
          <w:b/>
          <w:bCs/>
          <w:sz w:val="20"/>
        </w:rPr>
        <w:t>ä</w:t>
      </w:r>
      <w:r>
        <w:rPr>
          <w:b/>
          <w:bCs/>
          <w:sz w:val="20"/>
        </w:rPr>
        <w:t xml:space="preserve">ftsführer </w:t>
      </w:r>
      <w:r w:rsidRPr="00B00577">
        <w:rPr>
          <w:b/>
          <w:bCs/>
          <w:sz w:val="20"/>
        </w:rPr>
        <w:t xml:space="preserve">Karl-Heinz Hatzig </w:t>
      </w:r>
      <w:r w:rsidR="00796629">
        <w:rPr>
          <w:b/>
          <w:bCs/>
          <w:sz w:val="20"/>
        </w:rPr>
        <w:t xml:space="preserve">auch </w:t>
      </w:r>
      <w:r w:rsidRPr="00B00577">
        <w:rPr>
          <w:b/>
          <w:bCs/>
          <w:sz w:val="20"/>
        </w:rPr>
        <w:t xml:space="preserve">die Geschäftsführung der </w:t>
      </w:r>
      <w:r w:rsidR="004B6F6F">
        <w:rPr>
          <w:b/>
          <w:bCs/>
          <w:sz w:val="20"/>
        </w:rPr>
        <w:t>gemeinsamen Tochter der Wilken Software Group und FACTUR</w:t>
      </w:r>
      <w:r w:rsidR="00C530CE">
        <w:rPr>
          <w:b/>
          <w:bCs/>
          <w:sz w:val="20"/>
        </w:rPr>
        <w:t xml:space="preserve"> übernommen</w:t>
      </w:r>
      <w:r w:rsidRPr="00B00577">
        <w:rPr>
          <w:b/>
          <w:bCs/>
          <w:sz w:val="20"/>
        </w:rPr>
        <w:t>.</w:t>
      </w:r>
      <w:r>
        <w:rPr>
          <w:b/>
          <w:bCs/>
          <w:sz w:val="20"/>
        </w:rPr>
        <w:t xml:space="preserve"> </w:t>
      </w:r>
      <w:r w:rsidR="004B6F6F" w:rsidRPr="004B6F6F">
        <w:rPr>
          <w:b/>
          <w:bCs/>
          <w:sz w:val="20"/>
        </w:rPr>
        <w:t>Gegründet wurde das Unternehmen im Jahr 2016,</w:t>
      </w:r>
      <w:r w:rsidR="004B6F6F">
        <w:rPr>
          <w:b/>
          <w:bCs/>
          <w:sz w:val="20"/>
        </w:rPr>
        <w:t xml:space="preserve"> um</w:t>
      </w:r>
      <w:r w:rsidR="004B6F6F" w:rsidRPr="004B6F6F">
        <w:rPr>
          <w:b/>
          <w:bCs/>
          <w:sz w:val="20"/>
        </w:rPr>
        <w:t xml:space="preserve"> die wesentlichen Komponenten </w:t>
      </w:r>
      <w:r w:rsidR="004B6F6F">
        <w:rPr>
          <w:b/>
          <w:bCs/>
          <w:sz w:val="20"/>
        </w:rPr>
        <w:t>aus</w:t>
      </w:r>
      <w:r w:rsidR="004B6F6F" w:rsidRPr="004B6F6F">
        <w:rPr>
          <w:b/>
          <w:bCs/>
          <w:sz w:val="20"/>
        </w:rPr>
        <w:t xml:space="preserve"> beiden Geschäftsfeldern </w:t>
      </w:r>
      <w:r w:rsidR="004B6F6F">
        <w:rPr>
          <w:b/>
          <w:bCs/>
          <w:sz w:val="20"/>
        </w:rPr>
        <w:t>zu</w:t>
      </w:r>
      <w:r w:rsidR="00796629">
        <w:rPr>
          <w:b/>
          <w:bCs/>
          <w:sz w:val="20"/>
        </w:rPr>
        <w:t>sammenzu</w:t>
      </w:r>
      <w:r w:rsidR="004B6F6F">
        <w:rPr>
          <w:b/>
          <w:bCs/>
          <w:sz w:val="20"/>
        </w:rPr>
        <w:t>bringen</w:t>
      </w:r>
      <w:r w:rsidR="004B6F6F" w:rsidRPr="004B6F6F">
        <w:rPr>
          <w:b/>
          <w:bCs/>
          <w:sz w:val="20"/>
        </w:rPr>
        <w:t xml:space="preserve">: </w:t>
      </w:r>
      <w:r w:rsidR="004B6F6F">
        <w:rPr>
          <w:b/>
          <w:bCs/>
          <w:sz w:val="20"/>
        </w:rPr>
        <w:t xml:space="preserve">das </w:t>
      </w:r>
      <w:r w:rsidR="004B6F6F" w:rsidRPr="004B6F6F">
        <w:rPr>
          <w:b/>
          <w:bCs/>
          <w:sz w:val="20"/>
        </w:rPr>
        <w:t xml:space="preserve">Prozess- </w:t>
      </w:r>
      <w:r w:rsidR="004B6F6F">
        <w:rPr>
          <w:b/>
          <w:bCs/>
          <w:sz w:val="20"/>
        </w:rPr>
        <w:t>und das</w:t>
      </w:r>
      <w:r w:rsidR="004B6F6F" w:rsidRPr="004B6F6F">
        <w:rPr>
          <w:b/>
          <w:bCs/>
          <w:sz w:val="20"/>
        </w:rPr>
        <w:t xml:space="preserve"> IT-Know-how. </w:t>
      </w:r>
      <w:r w:rsidR="004B6F6F">
        <w:rPr>
          <w:b/>
          <w:bCs/>
          <w:sz w:val="20"/>
        </w:rPr>
        <w:t>Durch die Standortverlagerung soll die bisher schon enge Zusammenarbeit mit den Fachexperten der FACTUR weiter ausgebaut und zusätzliche Synergieeffekte erschlossen werden. Die energiewirtschaftlichen Prozessdienstleistungen werden weiterhin auf Basis der Branchenlösung Wilken ENER:GY erbracht.</w:t>
      </w:r>
    </w:p>
    <w:p w14:paraId="20035DD2" w14:textId="4B8DBA31" w:rsidR="001F1F3A" w:rsidRDefault="004B6F6F" w:rsidP="001F1F3A">
      <w:pPr>
        <w:rPr>
          <w:sz w:val="20"/>
        </w:rPr>
      </w:pPr>
      <w:r w:rsidRPr="004B6F6F">
        <w:rPr>
          <w:sz w:val="20"/>
        </w:rPr>
        <w:t>„Durch die direkte Nachbarschaft und die hieraus resultierenden, kurzen Kommunikationswege zwischen den Fachexperten beider Unternehmen können prozessuale Synergien in der Erbringung energiewirtschaftlicher Prozessdienstleistungen optimal genutzt werden. Damit schaffen wir bei gleichbleibender Dienstleistungsqualität eine enorme Flexibilität für unsere Bestands- und potenziellen Neukunden</w:t>
      </w:r>
      <w:r>
        <w:rPr>
          <w:sz w:val="20"/>
        </w:rPr>
        <w:t xml:space="preserve">“, erläutert </w:t>
      </w:r>
      <w:r w:rsidRPr="004B6F6F">
        <w:rPr>
          <w:sz w:val="20"/>
        </w:rPr>
        <w:t>Karl-Heinz Hatzig</w:t>
      </w:r>
      <w:r>
        <w:rPr>
          <w:sz w:val="20"/>
        </w:rPr>
        <w:t>, Geschäftsführer der</w:t>
      </w:r>
      <w:r w:rsidRPr="004B6F6F">
        <w:rPr>
          <w:sz w:val="20"/>
        </w:rPr>
        <w:t xml:space="preserve"> FACTUR </w:t>
      </w:r>
      <w:proofErr w:type="spellStart"/>
      <w:r w:rsidRPr="004B6F6F">
        <w:rPr>
          <w:sz w:val="20"/>
        </w:rPr>
        <w:t>Billing</w:t>
      </w:r>
      <w:proofErr w:type="spellEnd"/>
      <w:r w:rsidRPr="004B6F6F">
        <w:rPr>
          <w:sz w:val="20"/>
        </w:rPr>
        <w:t xml:space="preserve"> Solutions GmbH. Dies unterstreicht Folkert Wilken, Geschäftsführer und Inhaber der Wilken Software Group: „Wir brauchen starke Partner</w:t>
      </w:r>
      <w:r w:rsidR="00170848">
        <w:rPr>
          <w:sz w:val="20"/>
        </w:rPr>
        <w:t>, die uns bei der Gewinnung und Betreuung von Neukunden unterstützen. Zudem steht in den kommenden Jahren die sukzessive Transformation auf</w:t>
      </w:r>
      <w:r w:rsidRPr="004B6F6F">
        <w:rPr>
          <w:sz w:val="20"/>
        </w:rPr>
        <w:t xml:space="preserve"> unsere neue, cloudbasierte P/5 ENER:GY Lösung </w:t>
      </w:r>
      <w:r w:rsidR="00170848">
        <w:rPr>
          <w:sz w:val="20"/>
        </w:rPr>
        <w:t>an, mit der wir einen weiteren großen Schritt im Markt für energiewirtschaftliche Software-Lösungen gehen werden</w:t>
      </w:r>
      <w:r w:rsidRPr="004B6F6F">
        <w:rPr>
          <w:sz w:val="20"/>
        </w:rPr>
        <w:t>. Deshalb freue ich mich sehr, dass Karl-Heinz Hatzig als bundesweit bekannter Fachmann für energiewirtschaftliche Prozesse nun auch die Geschäftsführung der Wilken PRO übernimmt.“</w:t>
      </w:r>
    </w:p>
    <w:p w14:paraId="45720E77" w14:textId="43A1B36D" w:rsidR="00796629" w:rsidRDefault="00796629" w:rsidP="001F1F3A">
      <w:pPr>
        <w:rPr>
          <w:sz w:val="20"/>
        </w:rPr>
      </w:pPr>
    </w:p>
    <w:p w14:paraId="2D6D23A2" w14:textId="4EFCB8D2" w:rsidR="00796629" w:rsidRDefault="00796629" w:rsidP="001F1F3A">
      <w:pPr>
        <w:rPr>
          <w:sz w:val="20"/>
        </w:rPr>
      </w:pPr>
    </w:p>
    <w:p w14:paraId="504B2841" w14:textId="77777777" w:rsidR="00796629" w:rsidRPr="008B67FC" w:rsidRDefault="00796629" w:rsidP="001F1F3A">
      <w:pPr>
        <w:rPr>
          <w:sz w:val="20"/>
        </w:rPr>
      </w:pPr>
    </w:p>
    <w:tbl>
      <w:tblPr>
        <w:tblW w:w="9180" w:type="dxa"/>
        <w:tblInd w:w="-107" w:type="dxa"/>
        <w:tblLook w:val="04A0" w:firstRow="1" w:lastRow="0" w:firstColumn="1" w:lastColumn="0" w:noHBand="0" w:noVBand="1"/>
      </w:tblPr>
      <w:tblGrid>
        <w:gridCol w:w="4361"/>
        <w:gridCol w:w="4819"/>
      </w:tblGrid>
      <w:tr w:rsidR="001F1F3A" w:rsidRPr="00B2745D" w14:paraId="4FC427BA" w14:textId="77777777" w:rsidTr="00D92928">
        <w:tc>
          <w:tcPr>
            <w:tcW w:w="4361" w:type="dxa"/>
            <w:shd w:val="clear" w:color="auto" w:fill="auto"/>
          </w:tcPr>
          <w:p w14:paraId="3C3305ED" w14:textId="1AF4807C" w:rsidR="001F1F3A" w:rsidRPr="00170848" w:rsidRDefault="001F1F3A" w:rsidP="004B6F6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004B6F6F" w:rsidRPr="004B6F6F">
              <w:rPr>
                <w:rFonts w:ascii="Arial" w:hAnsi="Arial" w:cs="Calibri"/>
                <w:bCs/>
                <w:sz w:val="16"/>
                <w:szCs w:val="26"/>
                <w:lang w:eastAsia="de-DE"/>
              </w:rPr>
              <w:t>Wilken PRO GmbH</w:t>
            </w:r>
            <w:r w:rsidR="00C530CE">
              <w:rPr>
                <w:rFonts w:ascii="Arial" w:hAnsi="Arial" w:cs="Calibri"/>
                <w:bCs/>
                <w:sz w:val="16"/>
                <w:szCs w:val="26"/>
                <w:lang w:eastAsia="de-DE"/>
              </w:rPr>
              <w:t xml:space="preserve"> – </w:t>
            </w:r>
            <w:r w:rsidR="00C530CE" w:rsidRPr="00C530CE">
              <w:rPr>
                <w:rFonts w:ascii="Arial" w:hAnsi="Arial" w:cs="Calibri"/>
                <w:bCs/>
                <w:sz w:val="16"/>
                <w:szCs w:val="26"/>
                <w:lang w:eastAsia="de-DE"/>
              </w:rPr>
              <w:t>Karl-Heinz Hatzig</w:t>
            </w:r>
            <w:r w:rsidR="004B6F6F">
              <w:rPr>
                <w:rFonts w:ascii="Arial" w:hAnsi="Arial" w:cs="Calibri"/>
                <w:bCs/>
                <w:sz w:val="16"/>
                <w:szCs w:val="26"/>
                <w:lang w:eastAsia="de-DE"/>
              </w:rPr>
              <w:br/>
            </w:r>
            <w:proofErr w:type="spellStart"/>
            <w:r w:rsidR="004B6F6F" w:rsidRPr="004B6F6F">
              <w:rPr>
                <w:rFonts w:ascii="Arial" w:hAnsi="Arial" w:cs="Calibri"/>
                <w:sz w:val="16"/>
                <w:szCs w:val="26"/>
                <w:lang w:eastAsia="de-DE"/>
              </w:rPr>
              <w:t>Lombardenstr</w:t>
            </w:r>
            <w:proofErr w:type="spellEnd"/>
            <w:r w:rsidR="004B6F6F" w:rsidRPr="004B6F6F">
              <w:rPr>
                <w:rFonts w:ascii="Arial" w:hAnsi="Arial" w:cs="Calibri"/>
                <w:sz w:val="16"/>
                <w:szCs w:val="26"/>
                <w:lang w:eastAsia="de-DE"/>
              </w:rPr>
              <w:t>. 28</w:t>
            </w:r>
            <w:r w:rsidR="004B6F6F" w:rsidRPr="00C530CE">
              <w:rPr>
                <w:rFonts w:ascii="Arial" w:hAnsi="Arial" w:cs="Calibri"/>
                <w:sz w:val="16"/>
                <w:szCs w:val="26"/>
                <w:lang w:eastAsia="de-DE"/>
              </w:rPr>
              <w:t xml:space="preserve"> – </w:t>
            </w:r>
            <w:r w:rsidR="004B6F6F" w:rsidRPr="004B6F6F">
              <w:rPr>
                <w:rFonts w:ascii="Arial" w:hAnsi="Arial" w:cs="Calibri"/>
                <w:sz w:val="16"/>
                <w:szCs w:val="26"/>
                <w:lang w:eastAsia="de-DE"/>
              </w:rPr>
              <w:t>52070 Aachen</w:t>
            </w:r>
            <w:r w:rsidR="004B6F6F" w:rsidRPr="00C530CE">
              <w:rPr>
                <w:rFonts w:ascii="Arial" w:hAnsi="Arial" w:cs="Calibri"/>
                <w:sz w:val="16"/>
                <w:szCs w:val="26"/>
                <w:lang w:eastAsia="de-DE"/>
              </w:rPr>
              <w:br/>
              <w:t>Tel.</w:t>
            </w:r>
            <w:r w:rsidR="004B6F6F" w:rsidRPr="004B6F6F">
              <w:rPr>
                <w:rFonts w:ascii="Arial" w:hAnsi="Arial" w:cs="Calibri"/>
                <w:sz w:val="16"/>
                <w:szCs w:val="26"/>
                <w:lang w:eastAsia="de-DE"/>
              </w:rPr>
              <w:t xml:space="preserve">: </w:t>
            </w:r>
            <w:r w:rsidR="004B6F6F" w:rsidRPr="00C530CE">
              <w:rPr>
                <w:rFonts w:ascii="Arial" w:hAnsi="Arial" w:cs="Calibri"/>
                <w:sz w:val="16"/>
                <w:szCs w:val="26"/>
                <w:lang w:eastAsia="de-DE"/>
              </w:rPr>
              <w:t xml:space="preserve">+49 </w:t>
            </w:r>
            <w:r w:rsidR="004B6F6F" w:rsidRPr="004B6F6F">
              <w:rPr>
                <w:rFonts w:ascii="Arial" w:hAnsi="Arial" w:cs="Calibri"/>
                <w:sz w:val="16"/>
                <w:szCs w:val="26"/>
                <w:lang w:eastAsia="de-DE"/>
              </w:rPr>
              <w:t>241</w:t>
            </w:r>
            <w:r w:rsidR="004B6F6F" w:rsidRPr="00C530CE">
              <w:rPr>
                <w:rFonts w:ascii="Arial" w:hAnsi="Arial" w:cs="Calibri"/>
                <w:sz w:val="16"/>
                <w:szCs w:val="26"/>
                <w:lang w:eastAsia="de-DE"/>
              </w:rPr>
              <w:t xml:space="preserve"> </w:t>
            </w:r>
            <w:r w:rsidR="004B6F6F" w:rsidRPr="004B6F6F">
              <w:rPr>
                <w:rFonts w:ascii="Arial" w:hAnsi="Arial" w:cs="Calibri"/>
                <w:sz w:val="16"/>
                <w:szCs w:val="26"/>
                <w:lang w:eastAsia="de-DE"/>
              </w:rPr>
              <w:t>475757-0</w:t>
            </w:r>
            <w:r w:rsidRPr="00C530CE">
              <w:rPr>
                <w:rFonts w:ascii="Arial" w:hAnsi="Arial" w:cs="Calibri"/>
                <w:b/>
                <w:sz w:val="16"/>
                <w:szCs w:val="26"/>
                <w:lang w:eastAsia="de-DE"/>
              </w:rPr>
              <w:br/>
            </w:r>
            <w:hyperlink r:id="rId7" w:history="1">
              <w:r w:rsidRPr="00170848">
                <w:rPr>
                  <w:rStyle w:val="Hyperlink"/>
                  <w:rFonts w:ascii="Arial" w:hAnsi="Arial" w:cs="Calibri"/>
                  <w:sz w:val="16"/>
                  <w:szCs w:val="26"/>
                  <w:lang w:eastAsia="de-DE"/>
                </w:rPr>
                <w:t>presse@wilken.de</w:t>
              </w:r>
            </w:hyperlink>
            <w:r w:rsidRPr="00170848">
              <w:rPr>
                <w:rFonts w:ascii="Arial" w:hAnsi="Arial" w:cs="Calibri"/>
                <w:sz w:val="16"/>
                <w:szCs w:val="26"/>
                <w:lang w:eastAsia="de-DE"/>
              </w:rPr>
              <w:t xml:space="preserve"> – </w:t>
            </w:r>
            <w:hyperlink r:id="rId8" w:history="1">
              <w:r w:rsidRPr="00170848">
                <w:rPr>
                  <w:rStyle w:val="Hyperlink"/>
                  <w:rFonts w:ascii="Arial" w:hAnsi="Arial" w:cs="Calibri"/>
                  <w:sz w:val="16"/>
                  <w:szCs w:val="26"/>
                  <w:lang w:eastAsia="de-DE"/>
                </w:rPr>
                <w:t>www.wilken.de</w:t>
              </w:r>
            </w:hyperlink>
          </w:p>
        </w:tc>
        <w:tc>
          <w:tcPr>
            <w:tcW w:w="4819" w:type="dxa"/>
            <w:shd w:val="clear" w:color="auto" w:fill="auto"/>
          </w:tcPr>
          <w:p w14:paraId="0C771743" w14:textId="77777777" w:rsidR="001F1F3A" w:rsidRPr="00B2745D" w:rsidRDefault="001F1F3A" w:rsidP="00D929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7FBA98D9" w:rsidR="00FE48A6" w:rsidRPr="005A13EE" w:rsidRDefault="004B6F6F" w:rsidP="005A13EE">
      <w:pPr>
        <w:spacing w:line="240" w:lineRule="auto"/>
        <w:ind w:right="-1701"/>
        <w:rPr>
          <w:rFonts w:ascii="Arial" w:hAnsi="Arial" w:cs="Calibri"/>
          <w:b/>
          <w:sz w:val="16"/>
          <w:szCs w:val="26"/>
          <w:lang w:eastAsia="de-DE"/>
        </w:rPr>
      </w:pPr>
      <w:r w:rsidRPr="004B6F6F">
        <w:rPr>
          <w:rFonts w:ascii="Arial" w:hAnsi="Arial" w:cs="Calibri"/>
          <w:b/>
          <w:sz w:val="16"/>
          <w:szCs w:val="26"/>
          <w:lang w:eastAsia="de-DE"/>
        </w:rPr>
        <w:t>Über die Wilken PRO GmbH</w:t>
      </w:r>
      <w:r>
        <w:rPr>
          <w:rFonts w:ascii="Arial" w:hAnsi="Arial" w:cs="Calibri"/>
          <w:b/>
          <w:sz w:val="16"/>
          <w:szCs w:val="26"/>
          <w:lang w:eastAsia="de-DE"/>
        </w:rPr>
        <w:br/>
      </w:r>
      <w:r w:rsidRPr="004B6F6F">
        <w:rPr>
          <w:rFonts w:ascii="Arial" w:hAnsi="Arial" w:cs="Calibri"/>
          <w:bCs/>
          <w:sz w:val="16"/>
          <w:szCs w:val="26"/>
          <w:lang w:eastAsia="de-DE"/>
        </w:rPr>
        <w:t xml:space="preserve">Seit 2016 bietet das gemeinsame Dienstleistungsunternehmen der Wilken Software Group und der Aachener FACTUR </w:t>
      </w:r>
      <w:proofErr w:type="spellStart"/>
      <w:r w:rsidRPr="004B6F6F">
        <w:rPr>
          <w:rFonts w:ascii="Arial" w:hAnsi="Arial" w:cs="Calibri"/>
          <w:bCs/>
          <w:sz w:val="16"/>
          <w:szCs w:val="26"/>
          <w:lang w:eastAsia="de-DE"/>
        </w:rPr>
        <w:t>Billing</w:t>
      </w:r>
      <w:proofErr w:type="spellEnd"/>
      <w:r w:rsidRPr="004B6F6F">
        <w:rPr>
          <w:rFonts w:ascii="Arial" w:hAnsi="Arial" w:cs="Calibri"/>
          <w:bCs/>
          <w:sz w:val="16"/>
          <w:szCs w:val="26"/>
          <w:lang w:eastAsia="de-DE"/>
        </w:rPr>
        <w:t xml:space="preserve"> Solutions GmbH ein umfassendes Dienstleistungsportfolio für die Produktfamilien Wilken ENER:GY und </w:t>
      </w:r>
      <w:proofErr w:type="spellStart"/>
      <w:r w:rsidRPr="004B6F6F">
        <w:rPr>
          <w:rFonts w:ascii="Arial" w:hAnsi="Arial" w:cs="Calibri"/>
          <w:bCs/>
          <w:sz w:val="16"/>
          <w:szCs w:val="26"/>
          <w:lang w:eastAsia="de-DE"/>
        </w:rPr>
        <w:t>NTS.suite</w:t>
      </w:r>
      <w:proofErr w:type="spellEnd"/>
      <w:r w:rsidRPr="004B6F6F">
        <w:rPr>
          <w:rFonts w:ascii="Arial" w:hAnsi="Arial" w:cs="Calibri"/>
          <w:bCs/>
          <w:sz w:val="16"/>
          <w:szCs w:val="26"/>
          <w:lang w:eastAsia="de-DE"/>
        </w:rPr>
        <w:t xml:space="preserve"> an. Von der Ad-hoc-Unterstützung bis hin zum Full-Service-Angebot nutzen Kunden die Prozessdienstleistungen direkt vom Softwareanbieter. Kunden sind Stadt- und Gemeindewerke, die in den energiewirtschaftlichen Marktrollen Lieferant, Netzbetreiber und Messstellenbetreiber tätig sind, sowie bundesweit agierende Energievertriebe. Der Bedarf der Kunden steht im Mittelpunkt. Wilken PRO-Kunden profitieren vom IT- und Prozess-Knowhow, denn das IT-System und die Abwicklung von Geschäftsfällen kommen aus einer Hand.</w:t>
      </w:r>
    </w:p>
    <w:sectPr w:rsidR="00FE48A6" w:rsidRPr="005A13EE"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D094E6" w14:textId="77777777" w:rsidR="004F3CA9" w:rsidRDefault="004F3CA9">
      <w:r>
        <w:separator/>
      </w:r>
    </w:p>
  </w:endnote>
  <w:endnote w:type="continuationSeparator" w:id="0">
    <w:p w14:paraId="2AD48081" w14:textId="77777777" w:rsidR="004F3CA9" w:rsidRDefault="004F3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A61107" w14:textId="77777777" w:rsidR="004F3CA9" w:rsidRDefault="004F3CA9">
      <w:r>
        <w:separator/>
      </w:r>
    </w:p>
  </w:footnote>
  <w:footnote w:type="continuationSeparator" w:id="0">
    <w:p w14:paraId="4077EC15" w14:textId="77777777" w:rsidR="004F3CA9" w:rsidRDefault="004F3C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0CDF6DAC" w:rsidR="00FE2F2A" w:rsidRDefault="003847E6" w:rsidP="00FE48A6">
    <w:pPr>
      <w:pStyle w:val="Kopfzeile"/>
      <w:tabs>
        <w:tab w:val="clear" w:pos="9072"/>
        <w:tab w:val="right" w:pos="9639"/>
      </w:tabs>
      <w:ind w:right="-2268"/>
      <w:jc w:val="right"/>
    </w:pPr>
    <w:r>
      <w:rPr>
        <w:noProof/>
      </w:rPr>
      <w:drawing>
        <wp:anchor distT="0" distB="0" distL="114300" distR="114300" simplePos="0" relativeHeight="251659264" behindDoc="0" locked="0" layoutInCell="1" allowOverlap="1" wp14:anchorId="451681B7" wp14:editId="1E5715AB">
          <wp:simplePos x="0" y="0"/>
          <wp:positionH relativeFrom="margin">
            <wp:posOffset>4470400</wp:posOffset>
          </wp:positionH>
          <wp:positionV relativeFrom="margin">
            <wp:posOffset>-910519</wp:posOffset>
          </wp:positionV>
          <wp:extent cx="1650365" cy="633095"/>
          <wp:effectExtent l="0" t="0" r="6985" b="0"/>
          <wp:wrapSquare wrapText="bothSides"/>
          <wp:docPr id="1" name="Grafik 1" descr="Ein Bild, das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Zeichnung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650365" cy="633095"/>
                  </a:xfrm>
                  <a:prstGeom prst="rect">
                    <a:avLst/>
                  </a:prstGeom>
                </pic:spPr>
              </pic:pic>
            </a:graphicData>
          </a:graphic>
          <wp14:sizeRelH relativeFrom="margin">
            <wp14:pctWidth>0</wp14:pctWidth>
          </wp14:sizeRelH>
          <wp14:sizeRelV relativeFrom="margin">
            <wp14:pctHeight>0</wp14:pctHeight>
          </wp14:sizeRelV>
        </wp:anchor>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D38"/>
    <w:rsid w:val="00101E97"/>
    <w:rsid w:val="00102BB9"/>
    <w:rsid w:val="00106410"/>
    <w:rsid w:val="00106709"/>
    <w:rsid w:val="00107620"/>
    <w:rsid w:val="00114F49"/>
    <w:rsid w:val="00115827"/>
    <w:rsid w:val="00122695"/>
    <w:rsid w:val="00122B29"/>
    <w:rsid w:val="00122F47"/>
    <w:rsid w:val="0012491E"/>
    <w:rsid w:val="00127C93"/>
    <w:rsid w:val="00127E87"/>
    <w:rsid w:val="001307C5"/>
    <w:rsid w:val="00133E38"/>
    <w:rsid w:val="001344B4"/>
    <w:rsid w:val="00135DEE"/>
    <w:rsid w:val="001433B0"/>
    <w:rsid w:val="00150096"/>
    <w:rsid w:val="00152BF0"/>
    <w:rsid w:val="00152D07"/>
    <w:rsid w:val="00161C14"/>
    <w:rsid w:val="00165471"/>
    <w:rsid w:val="00170848"/>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1F3A"/>
    <w:rsid w:val="00201259"/>
    <w:rsid w:val="00201ED0"/>
    <w:rsid w:val="002176F1"/>
    <w:rsid w:val="002266BD"/>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47E6"/>
    <w:rsid w:val="00386488"/>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3A1"/>
    <w:rsid w:val="004B6B57"/>
    <w:rsid w:val="004B6F6F"/>
    <w:rsid w:val="004C24AD"/>
    <w:rsid w:val="004C2764"/>
    <w:rsid w:val="004C38CC"/>
    <w:rsid w:val="004C3D16"/>
    <w:rsid w:val="004C534C"/>
    <w:rsid w:val="004C53BB"/>
    <w:rsid w:val="004D08E4"/>
    <w:rsid w:val="004D42F9"/>
    <w:rsid w:val="004D5F32"/>
    <w:rsid w:val="004E2379"/>
    <w:rsid w:val="004E5964"/>
    <w:rsid w:val="004F2F02"/>
    <w:rsid w:val="004F3CA9"/>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13EE"/>
    <w:rsid w:val="005A7E21"/>
    <w:rsid w:val="005B3ACD"/>
    <w:rsid w:val="005B5202"/>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761A3"/>
    <w:rsid w:val="00782178"/>
    <w:rsid w:val="00783CEE"/>
    <w:rsid w:val="007918DD"/>
    <w:rsid w:val="00791F82"/>
    <w:rsid w:val="007927F5"/>
    <w:rsid w:val="00792A04"/>
    <w:rsid w:val="00793AB8"/>
    <w:rsid w:val="00796629"/>
    <w:rsid w:val="007A2057"/>
    <w:rsid w:val="007B062F"/>
    <w:rsid w:val="007B0E4F"/>
    <w:rsid w:val="007B3944"/>
    <w:rsid w:val="007C1274"/>
    <w:rsid w:val="007C3EFB"/>
    <w:rsid w:val="007C423A"/>
    <w:rsid w:val="007C51F6"/>
    <w:rsid w:val="007C5A78"/>
    <w:rsid w:val="007D2289"/>
    <w:rsid w:val="007D7109"/>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6C77"/>
    <w:rsid w:val="008E7255"/>
    <w:rsid w:val="008F07C1"/>
    <w:rsid w:val="008F2039"/>
    <w:rsid w:val="008F2560"/>
    <w:rsid w:val="008F2D96"/>
    <w:rsid w:val="008F3BBB"/>
    <w:rsid w:val="008F60DD"/>
    <w:rsid w:val="008F68EF"/>
    <w:rsid w:val="00901E26"/>
    <w:rsid w:val="00902719"/>
    <w:rsid w:val="00903A51"/>
    <w:rsid w:val="009043EE"/>
    <w:rsid w:val="009061E5"/>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AA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AC3"/>
    <w:rsid w:val="00A77BBC"/>
    <w:rsid w:val="00A81276"/>
    <w:rsid w:val="00A8158F"/>
    <w:rsid w:val="00A85E92"/>
    <w:rsid w:val="00A86B13"/>
    <w:rsid w:val="00A90BD3"/>
    <w:rsid w:val="00A91DFD"/>
    <w:rsid w:val="00A92B64"/>
    <w:rsid w:val="00A941BA"/>
    <w:rsid w:val="00A97DBF"/>
    <w:rsid w:val="00AA2FE1"/>
    <w:rsid w:val="00AA5074"/>
    <w:rsid w:val="00AA68E3"/>
    <w:rsid w:val="00AA6B67"/>
    <w:rsid w:val="00AA7575"/>
    <w:rsid w:val="00AA7956"/>
    <w:rsid w:val="00AB4B73"/>
    <w:rsid w:val="00AB63C5"/>
    <w:rsid w:val="00AB7591"/>
    <w:rsid w:val="00AC6740"/>
    <w:rsid w:val="00AD784B"/>
    <w:rsid w:val="00AE4FBA"/>
    <w:rsid w:val="00AE7F73"/>
    <w:rsid w:val="00AF1D9E"/>
    <w:rsid w:val="00B00577"/>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894"/>
    <w:rsid w:val="00B54F30"/>
    <w:rsid w:val="00B618FC"/>
    <w:rsid w:val="00B62065"/>
    <w:rsid w:val="00B63171"/>
    <w:rsid w:val="00B67855"/>
    <w:rsid w:val="00B81FED"/>
    <w:rsid w:val="00B86EC2"/>
    <w:rsid w:val="00B87471"/>
    <w:rsid w:val="00B8762C"/>
    <w:rsid w:val="00B915F5"/>
    <w:rsid w:val="00BA0115"/>
    <w:rsid w:val="00BA444C"/>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530CE"/>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D50"/>
    <w:rsid w:val="00DA3F70"/>
    <w:rsid w:val="00DA4F82"/>
    <w:rsid w:val="00DA74C1"/>
    <w:rsid w:val="00DB0CE5"/>
    <w:rsid w:val="00DB2C74"/>
    <w:rsid w:val="00DB4016"/>
    <w:rsid w:val="00DB7910"/>
    <w:rsid w:val="00DC00DD"/>
    <w:rsid w:val="00DC7643"/>
    <w:rsid w:val="00DC7DD1"/>
    <w:rsid w:val="00DD3401"/>
    <w:rsid w:val="00DE1531"/>
    <w:rsid w:val="00DE2EB6"/>
    <w:rsid w:val="00DE4D7F"/>
    <w:rsid w:val="00DE671C"/>
    <w:rsid w:val="00DF68C5"/>
    <w:rsid w:val="00E00BE3"/>
    <w:rsid w:val="00E02730"/>
    <w:rsid w:val="00E0302D"/>
    <w:rsid w:val="00E03627"/>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16089"/>
    <w:rsid w:val="00F22112"/>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1FDE"/>
    <w:rsid w:val="00F646AC"/>
    <w:rsid w:val="00F65A9B"/>
    <w:rsid w:val="00F6666C"/>
    <w:rsid w:val="00F67B54"/>
    <w:rsid w:val="00F717EB"/>
    <w:rsid w:val="00F771FF"/>
    <w:rsid w:val="00F856E8"/>
    <w:rsid w:val="00F87E0B"/>
    <w:rsid w:val="00F9031E"/>
    <w:rsid w:val="00F903C3"/>
    <w:rsid w:val="00F95D59"/>
    <w:rsid w:val="00F96E98"/>
    <w:rsid w:val="00FA13E1"/>
    <w:rsid w:val="00FA188E"/>
    <w:rsid w:val="00FA3705"/>
    <w:rsid w:val="00FA584B"/>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2867</Characters>
  <Application>Microsoft Office Word</Application>
  <DocSecurity>0</DocSecurity>
  <Lines>23</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7</cp:revision>
  <cp:lastPrinted>2020-08-04T13:39:00Z</cp:lastPrinted>
  <dcterms:created xsi:type="dcterms:W3CDTF">2020-10-12T06:09:00Z</dcterms:created>
  <dcterms:modified xsi:type="dcterms:W3CDTF">2020-10-14T14:25:00Z</dcterms:modified>
</cp:coreProperties>
</file>