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F977AA"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sidRPr="0001024D">
        <w:rPr>
          <w:sz w:val="24"/>
          <w:szCs w:val="24"/>
        </w:rPr>
        <w:t>PRESSEINFORMATION</w:t>
      </w:r>
    </w:p>
    <w:p w14:paraId="6870A7C5" w14:textId="3151B774"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sidRPr="0001024D">
        <w:rPr>
          <w:sz w:val="20"/>
        </w:rPr>
        <w:t>Lörrach/München, 2</w:t>
      </w:r>
      <w:r w:rsidR="00ED2A55">
        <w:rPr>
          <w:sz w:val="20"/>
        </w:rPr>
        <w:t>2</w:t>
      </w:r>
      <w:r w:rsidRPr="0001024D">
        <w:rPr>
          <w:sz w:val="20"/>
        </w:rPr>
        <w:t>. September 2020</w:t>
      </w:r>
    </w:p>
    <w:p w14:paraId="44E129CD"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0D0D7345" w14:textId="77777777" w:rsidR="0001024D" w:rsidRPr="0001024D" w:rsidRDefault="0001024D" w:rsidP="0001024D">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sidRPr="0001024D">
        <w:rPr>
          <w:b/>
          <w:bCs/>
          <w:sz w:val="28"/>
          <w:szCs w:val="28"/>
        </w:rPr>
        <w:t>EEG-Bürokratie: Bitte nicht noch mehr Komplexität</w:t>
      </w:r>
    </w:p>
    <w:bookmarkEnd w:id="0"/>
    <w:bookmarkEnd w:id="1"/>
    <w:bookmarkEnd w:id="2"/>
    <w:bookmarkEnd w:id="3"/>
    <w:p w14:paraId="580BD0B7"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proofErr w:type="spellStart"/>
      <w:r w:rsidRPr="0001024D">
        <w:rPr>
          <w:b/>
          <w:bCs/>
        </w:rPr>
        <w:t>edna</w:t>
      </w:r>
      <w:proofErr w:type="spellEnd"/>
      <w:r w:rsidRPr="0001024D">
        <w:rPr>
          <w:b/>
          <w:bCs/>
        </w:rPr>
        <w:t xml:space="preserve"> und VBEW fordern neuen Ordnungsrahmen für Erneuerbare Energien</w:t>
      </w:r>
    </w:p>
    <w:p w14:paraId="5852F497"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ind w:right="-1417"/>
        <w:rPr>
          <w:b/>
          <w:bCs/>
        </w:rPr>
      </w:pPr>
    </w:p>
    <w:p w14:paraId="017E2538"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r w:rsidRPr="0001024D">
        <w:rPr>
          <w:b/>
          <w:bCs/>
          <w:spacing w:val="-1"/>
          <w:sz w:val="20"/>
        </w:rPr>
        <w:t xml:space="preserve">Die Energiewende braucht für die nächste Phase einen neuen Ordnungsrahmen, da das Erneuerbare-Energien-Gesetz (EEG) inzwischen völlig überreguliert und viel zu komplex ist. Das fordert der </w:t>
      </w:r>
      <w:proofErr w:type="spellStart"/>
      <w:r w:rsidRPr="0001024D">
        <w:rPr>
          <w:b/>
          <w:bCs/>
          <w:spacing w:val="-1"/>
          <w:sz w:val="20"/>
        </w:rPr>
        <w:t>edna</w:t>
      </w:r>
      <w:proofErr w:type="spellEnd"/>
      <w:r w:rsidRPr="0001024D">
        <w:rPr>
          <w:b/>
          <w:bCs/>
          <w:spacing w:val="-1"/>
          <w:sz w:val="20"/>
        </w:rPr>
        <w:t xml:space="preserve"> Bundesverband Energiemarkt &amp; Kommunikation e.V. gemeinsam mit dem Verband der Bayerischen Energie- und Wasserwirtschaft e.V. VBEW. Statt der ursprünglich 13 Paragraphen im Jahr 2000 umfasst das EEG inzwischen deren 105 zuzüglich zahlreicher Verordnungen und Anlagen sowie mehr als 5.000 verschiedene Vergütungskategorien, die parallel angewendet werden müssen. "Wozu haben wir einen CO</w:t>
      </w:r>
      <w:r w:rsidRPr="0001024D">
        <w:rPr>
          <w:b/>
          <w:bCs/>
          <w:spacing w:val="-1"/>
          <w:sz w:val="20"/>
          <w:vertAlign w:val="subscript"/>
        </w:rPr>
        <w:t>2</w:t>
      </w:r>
      <w:r w:rsidRPr="0001024D">
        <w:rPr>
          <w:b/>
          <w:bCs/>
          <w:spacing w:val="-1"/>
          <w:sz w:val="20"/>
        </w:rPr>
        <w:t xml:space="preserve">-Preis auf fossile Energieträger eingeführt, wenn wir jeden Tag trotzdem neue Fördertatbestände für jedes denkbare Geschäftsmodell für den Aufwuchs der erneuerbaren Energien erfinden?“, meint dazu VBEW-Geschäftsführer Detlef Fischer. Und </w:t>
      </w:r>
      <w:proofErr w:type="spellStart"/>
      <w:r w:rsidRPr="0001024D">
        <w:rPr>
          <w:b/>
          <w:bCs/>
          <w:spacing w:val="-1"/>
          <w:sz w:val="20"/>
        </w:rPr>
        <w:t>edna-Geschäftsführer</w:t>
      </w:r>
      <w:proofErr w:type="spellEnd"/>
      <w:r w:rsidRPr="0001024D">
        <w:rPr>
          <w:b/>
          <w:bCs/>
          <w:spacing w:val="-1"/>
          <w:sz w:val="20"/>
        </w:rPr>
        <w:t xml:space="preserve"> Rüdiger Winkler ergänzt: „Wir benötigen für die Energiewende einen verständlichen Ordnungsrahmen, der von sich aus heraus zu nachhaltigen Lösungen führt. Ein angemessener CO</w:t>
      </w:r>
      <w:r w:rsidRPr="0001024D">
        <w:rPr>
          <w:b/>
          <w:bCs/>
          <w:spacing w:val="-1"/>
          <w:sz w:val="20"/>
          <w:vertAlign w:val="subscript"/>
        </w:rPr>
        <w:t>2</w:t>
      </w:r>
      <w:r w:rsidRPr="0001024D">
        <w:rPr>
          <w:b/>
          <w:bCs/>
          <w:spacing w:val="-1"/>
          <w:sz w:val="20"/>
        </w:rPr>
        <w:t>-Preis auf fossile Energieträger sollte der Haupttreiber für die Energiewende sein. Die Verschlimmbesserung des bisherigen EEG-Förderwustes ist hingegen keine nachhaltige Lösung und bedient diverse Partikularinteressen“. Aus diesem Grunde sollte das in Kürze zu verabschiedende EEG 2021 nur noch als Übergangslösung mit Bestandsschutz für Altanlagen betrachtet werden, so die beiden Verbände.</w:t>
      </w:r>
    </w:p>
    <w:p w14:paraId="5F667915"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bCs/>
          <w:spacing w:val="-1"/>
          <w:sz w:val="20"/>
        </w:rPr>
      </w:pPr>
    </w:p>
    <w:p w14:paraId="79400D1E"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Cs/>
          <w:spacing w:val="-1"/>
          <w:sz w:val="20"/>
        </w:rPr>
      </w:pPr>
      <w:r w:rsidRPr="0001024D">
        <w:rPr>
          <w:spacing w:val="-1"/>
          <w:sz w:val="20"/>
        </w:rPr>
        <w:t xml:space="preserve">"Das EEG hat eine beklagenswerte Unverständlichkeit erreicht. Selbst Experten verstehen nicht mehr, was der Gesetzgeber will. Der an der Energiewende interessierte Bürger verzweifelt an den endlosen Schachtelparagraphen mit zahlreichen Übergangsbestimmungen. So wird das EEG in keinem Fall einen Beitrag zu mehr Akzeptanz für die Energiewende leisten", erklärt Detlef Fischer. So würden Heerscharen von Juristen und Anlagenbetreibern über </w:t>
      </w:r>
      <w:r w:rsidRPr="0001024D">
        <w:rPr>
          <w:bCs/>
          <w:spacing w:val="-1"/>
          <w:sz w:val="20"/>
        </w:rPr>
        <w:t>den komplexen Förderbestimmungen brüten und könnten sich trotzdem nicht darauf verlassen, dass diese nach der Projektierungsphase noch Bestand haben</w:t>
      </w:r>
      <w:r w:rsidRPr="0001024D">
        <w:rPr>
          <w:spacing w:val="-1"/>
          <w:sz w:val="20"/>
        </w:rPr>
        <w:t xml:space="preserve">. Eine echte Bürgerteilhabe sei nicht möglich, </w:t>
      </w:r>
      <w:r w:rsidRPr="0001024D">
        <w:rPr>
          <w:bCs/>
          <w:spacing w:val="-1"/>
          <w:sz w:val="20"/>
        </w:rPr>
        <w:t xml:space="preserve">weil dem Bürger aufgrund der Komplexität der Zugang zu diesem Ordnungsrahmen verschlossen bliebe. „Der Gesetzgeber konterkariert damit sein eigenes Ziel! Ein Erfolg der Energiewende hängt aber in </w:t>
      </w:r>
      <w:r w:rsidRPr="0001024D">
        <w:rPr>
          <w:bCs/>
          <w:spacing w:val="-1"/>
          <w:sz w:val="20"/>
        </w:rPr>
        <w:lastRenderedPageBreak/>
        <w:t>hohem Maße davon ab, wie transparent und nachvollziehbar die Förder- und Betriebsgrundlagen sind – bei Anlagenplanern, Errichtern, Energieversorgern und gerade auch für die Bürgerinnen und Bürger als Anlagenbetreiber oder Prosumer“, so Rüdiger Winkler.</w:t>
      </w:r>
    </w:p>
    <w:p w14:paraId="2944322F"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Cs/>
          <w:spacing w:val="-1"/>
          <w:sz w:val="20"/>
        </w:rPr>
      </w:pPr>
    </w:p>
    <w:p w14:paraId="3845F956"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
          <w:spacing w:val="-1"/>
          <w:sz w:val="20"/>
        </w:rPr>
      </w:pPr>
      <w:r w:rsidRPr="0001024D">
        <w:rPr>
          <w:b/>
          <w:spacing w:val="-1"/>
          <w:sz w:val="20"/>
        </w:rPr>
        <w:t>CO</w:t>
      </w:r>
      <w:r w:rsidRPr="0001024D">
        <w:rPr>
          <w:b/>
          <w:spacing w:val="-1"/>
          <w:sz w:val="20"/>
          <w:vertAlign w:val="subscript"/>
        </w:rPr>
        <w:t>2</w:t>
      </w:r>
      <w:r w:rsidRPr="0001024D">
        <w:rPr>
          <w:b/>
          <w:spacing w:val="-1"/>
          <w:sz w:val="20"/>
        </w:rPr>
        <w:t>-Preis als Steuerungsinstrument</w:t>
      </w:r>
    </w:p>
    <w:p w14:paraId="6F7B1DEC"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Cs/>
          <w:spacing w:val="-1"/>
          <w:sz w:val="20"/>
        </w:rPr>
      </w:pPr>
      <w:r w:rsidRPr="0001024D">
        <w:rPr>
          <w:bCs/>
          <w:spacing w:val="-1"/>
          <w:sz w:val="20"/>
        </w:rPr>
        <w:t xml:space="preserve">Nach Ansicht von </w:t>
      </w:r>
      <w:proofErr w:type="spellStart"/>
      <w:r w:rsidRPr="0001024D">
        <w:rPr>
          <w:bCs/>
          <w:spacing w:val="-1"/>
          <w:sz w:val="20"/>
        </w:rPr>
        <w:t>edna</w:t>
      </w:r>
      <w:proofErr w:type="spellEnd"/>
      <w:r w:rsidRPr="0001024D">
        <w:rPr>
          <w:bCs/>
          <w:spacing w:val="-1"/>
          <w:sz w:val="20"/>
        </w:rPr>
        <w:t xml:space="preserve"> und VBEW ist ein ausreichend hoher CO</w:t>
      </w:r>
      <w:r w:rsidRPr="0001024D">
        <w:rPr>
          <w:bCs/>
          <w:spacing w:val="-1"/>
          <w:sz w:val="20"/>
          <w:vertAlign w:val="subscript"/>
        </w:rPr>
        <w:t>2</w:t>
      </w:r>
      <w:r w:rsidRPr="0001024D">
        <w:rPr>
          <w:bCs/>
          <w:spacing w:val="-1"/>
          <w:sz w:val="20"/>
        </w:rPr>
        <w:t>-Preis das entscheidende Instrument und nicht die über 5.000 Möglichkeiten Anlagen zur Stromerzeugung aus erneuerbaren Energien zu vergüten. Zudem müssten die Staatslasten auf den Strompreis deutlich gesenkt werden. „Weil unser Strompreis mit Abgaben, Umlagen und Steuern überlastet ist, geraten wir europäisch immer mehr ins Abseits. Aufgaben im allgemeinen gesellschaftlichen Interesse, wie die Förderung der Erneuerbaren Energien oder der Kraft-Wärme-Kopplung, sollten deswegen nicht mehr über Strompreisaufschläge finanziert werden“, betont Rüdiger Winkler.</w:t>
      </w:r>
    </w:p>
    <w:p w14:paraId="6137E416"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bCs/>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01024D" w:rsidRPr="0001024D" w14:paraId="5CDA2449" w14:textId="77777777" w:rsidTr="00D1503D">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38361BD9"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sidRPr="0001024D">
              <w:rPr>
                <w:b/>
                <w:bCs/>
                <w:i/>
                <w:iCs/>
                <w:sz w:val="16"/>
                <w:szCs w:val="16"/>
              </w:rPr>
              <w:t>Weitere Informationen:</w:t>
            </w:r>
          </w:p>
          <w:p w14:paraId="0ED73757"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sidRPr="0001024D">
              <w:rPr>
                <w:b/>
                <w:bCs/>
                <w:sz w:val="16"/>
                <w:szCs w:val="16"/>
              </w:rPr>
              <w:t xml:space="preserve">EDNA Bundesverband Energiemarkt &amp; Kommunikation e.V. </w:t>
            </w:r>
          </w:p>
          <w:p w14:paraId="7172C078"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sidRPr="0001024D">
              <w:rPr>
                <w:b/>
                <w:bCs/>
                <w:sz w:val="16"/>
                <w:szCs w:val="16"/>
              </w:rPr>
              <w:t xml:space="preserve">Rüdiger Winkler - </w:t>
            </w:r>
            <w:r w:rsidRPr="0001024D">
              <w:rPr>
                <w:sz w:val="16"/>
                <w:szCs w:val="16"/>
              </w:rPr>
              <w:t xml:space="preserve">c/o </w:t>
            </w:r>
            <w:proofErr w:type="spellStart"/>
            <w:proofErr w:type="gramStart"/>
            <w:r w:rsidRPr="0001024D">
              <w:rPr>
                <w:sz w:val="16"/>
                <w:szCs w:val="16"/>
              </w:rPr>
              <w:t>ifed.Institut</w:t>
            </w:r>
            <w:proofErr w:type="spellEnd"/>
            <w:proofErr w:type="gramEnd"/>
            <w:r w:rsidRPr="0001024D">
              <w:rPr>
                <w:sz w:val="16"/>
                <w:szCs w:val="16"/>
              </w:rPr>
              <w:t xml:space="preserve"> für Energiedienstleistungen GmbH</w:t>
            </w:r>
          </w:p>
          <w:p w14:paraId="5A4EC0D1"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01024D">
              <w:rPr>
                <w:sz w:val="16"/>
                <w:szCs w:val="16"/>
              </w:rPr>
              <w:t>Blücherstr. 20a - D-79539 Lörrach</w:t>
            </w:r>
          </w:p>
          <w:p w14:paraId="1A47EA45" w14:textId="77777777" w:rsidR="0001024D" w:rsidRPr="0001024D" w:rsidRDefault="0001024D" w:rsidP="00D1503D">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01024D">
              <w:rPr>
                <w:sz w:val="16"/>
                <w:szCs w:val="16"/>
              </w:rPr>
              <w:t>Tel.: +49 7621 16308 18</w:t>
            </w:r>
          </w:p>
          <w:p w14:paraId="53F31276"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01024D">
              <w:rPr>
                <w:sz w:val="16"/>
                <w:szCs w:val="16"/>
              </w:rPr>
              <w:t xml:space="preserve">winkler@edna-bundesverband.de - www.edna-bundesverband.de </w:t>
            </w:r>
          </w:p>
          <w:p w14:paraId="2F1817F4"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p>
          <w:p w14:paraId="4A5BB25F" w14:textId="77777777" w:rsidR="0001024D" w:rsidRPr="0001024D" w:rsidRDefault="0001024D" w:rsidP="00D1503D">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b/>
                <w:bCs/>
                <w:sz w:val="16"/>
                <w:szCs w:val="16"/>
              </w:rPr>
            </w:pPr>
            <w:r w:rsidRPr="0001024D">
              <w:rPr>
                <w:b/>
                <w:bCs/>
                <w:sz w:val="16"/>
                <w:szCs w:val="16"/>
              </w:rPr>
              <w:t>Verband der Bayerischen Energie- und Wasserwirtschaft e.V. - VBEW</w:t>
            </w:r>
          </w:p>
          <w:p w14:paraId="3AD6D256" w14:textId="77777777" w:rsidR="0001024D" w:rsidRPr="0001024D" w:rsidRDefault="0001024D" w:rsidP="00D1503D">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01024D">
              <w:rPr>
                <w:sz w:val="16"/>
                <w:szCs w:val="16"/>
              </w:rPr>
              <w:t>Detlef Fischer</w:t>
            </w:r>
          </w:p>
          <w:p w14:paraId="5E4FEF54" w14:textId="77777777" w:rsidR="0001024D" w:rsidRPr="0001024D" w:rsidRDefault="0001024D" w:rsidP="00D1503D">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01024D">
              <w:rPr>
                <w:sz w:val="16"/>
                <w:szCs w:val="16"/>
              </w:rPr>
              <w:t>Akademiestraße 7 – 80799 München</w:t>
            </w:r>
          </w:p>
          <w:p w14:paraId="3B9D4B4C" w14:textId="77777777" w:rsidR="0001024D" w:rsidRPr="0001024D" w:rsidRDefault="0001024D" w:rsidP="00D1503D">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01024D">
              <w:rPr>
                <w:sz w:val="16"/>
                <w:szCs w:val="16"/>
              </w:rPr>
              <w:t>Tel. +49 89/38 01 82-0</w:t>
            </w:r>
          </w:p>
          <w:p w14:paraId="1C5E7E06" w14:textId="77777777" w:rsidR="0001024D" w:rsidRPr="0001024D" w:rsidRDefault="0001024D" w:rsidP="00D1503D">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01024D">
              <w:rPr>
                <w:sz w:val="16"/>
                <w:szCs w:val="16"/>
              </w:rPr>
              <w:t>vbew@vbew.de – www.vbew.de</w:t>
            </w:r>
          </w:p>
          <w:p w14:paraId="701576BB" w14:textId="77777777" w:rsidR="0001024D" w:rsidRPr="0001024D" w:rsidRDefault="0001024D" w:rsidP="00D1503D">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pPr>
          </w:p>
        </w:tc>
        <w:tc>
          <w:tcPr>
            <w:tcW w:w="4386" w:type="dxa"/>
            <w:tcBorders>
              <w:top w:val="nil"/>
              <w:left w:val="nil"/>
              <w:bottom w:val="nil"/>
              <w:right w:val="nil"/>
            </w:tcBorders>
            <w:shd w:val="clear" w:color="auto" w:fill="auto"/>
            <w:tcMar>
              <w:top w:w="80" w:type="dxa"/>
              <w:left w:w="80" w:type="dxa"/>
              <w:bottom w:w="80" w:type="dxa"/>
              <w:right w:w="80" w:type="dxa"/>
            </w:tcMar>
          </w:tcPr>
          <w:p w14:paraId="0278D9E0"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sidRPr="0001024D">
              <w:rPr>
                <w:b/>
                <w:bCs/>
                <w:i/>
                <w:iCs/>
                <w:sz w:val="16"/>
                <w:szCs w:val="16"/>
              </w:rPr>
              <w:t>Presse- und Öffentlichkeitsarbeit:</w:t>
            </w:r>
          </w:p>
          <w:p w14:paraId="714B1640"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sidRPr="0001024D">
              <w:rPr>
                <w:b/>
                <w:bCs/>
                <w:sz w:val="16"/>
                <w:szCs w:val="16"/>
              </w:rPr>
              <w:t xml:space="preserve">Press'n’Relations GmbH - Uwe Pagel </w:t>
            </w:r>
          </w:p>
          <w:p w14:paraId="68A19813"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01024D">
              <w:rPr>
                <w:sz w:val="16"/>
                <w:szCs w:val="16"/>
              </w:rPr>
              <w:t>Magirusstr. 33 - D-89077 Ulm</w:t>
            </w:r>
          </w:p>
          <w:p w14:paraId="1A54075E"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01024D">
              <w:rPr>
                <w:sz w:val="16"/>
                <w:szCs w:val="16"/>
              </w:rPr>
              <w:t xml:space="preserve">Tel.: +49 731 96287-29 </w:t>
            </w:r>
          </w:p>
          <w:p w14:paraId="24AB5B4B" w14:textId="77777777" w:rsidR="0001024D" w:rsidRPr="0001024D" w:rsidRDefault="0001024D" w:rsidP="00D1503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01024D">
              <w:rPr>
                <w:sz w:val="16"/>
                <w:szCs w:val="16"/>
              </w:rPr>
              <w:t xml:space="preserve">upa@press-n-relations.de - </w:t>
            </w:r>
            <w:hyperlink r:id="rId8" w:history="1">
              <w:r w:rsidRPr="0001024D">
                <w:rPr>
                  <w:rStyle w:val="Hyperlink0"/>
                  <w:color w:val="auto"/>
                  <w:sz w:val="16"/>
                  <w:szCs w:val="16"/>
                  <w:lang w:val="de-DE"/>
                </w:rPr>
                <w:t>www.press-n-relations.de</w:t>
              </w:r>
            </w:hyperlink>
          </w:p>
        </w:tc>
      </w:tr>
    </w:tbl>
    <w:p w14:paraId="37AEEEC5" w14:textId="77777777" w:rsidR="0001024D" w:rsidRPr="0001024D" w:rsidRDefault="0001024D" w:rsidP="0001024D">
      <w:pPr>
        <w:ind w:right="-2410"/>
        <w:rPr>
          <w:sz w:val="16"/>
          <w:szCs w:val="16"/>
        </w:rPr>
      </w:pPr>
      <w:r w:rsidRPr="0001024D">
        <w:rPr>
          <w:b/>
          <w:bCs/>
          <w:sz w:val="16"/>
          <w:szCs w:val="16"/>
        </w:rPr>
        <w:t xml:space="preserve">Über </w:t>
      </w:r>
      <w:proofErr w:type="spellStart"/>
      <w:r w:rsidRPr="0001024D">
        <w:rPr>
          <w:b/>
          <w:bCs/>
          <w:sz w:val="16"/>
          <w:szCs w:val="16"/>
        </w:rPr>
        <w:t>edna</w:t>
      </w:r>
      <w:proofErr w:type="spellEnd"/>
      <w:r w:rsidRPr="0001024D">
        <w:rPr>
          <w:b/>
          <w:bCs/>
          <w:sz w:val="16"/>
          <w:szCs w:val="16"/>
        </w:rPr>
        <w:t>:</w:t>
      </w:r>
      <w:r w:rsidRPr="0001024D">
        <w:rPr>
          <w:sz w:val="16"/>
          <w:szCs w:val="16"/>
        </w:rPr>
        <w:br/>
        <w:t>Der </w:t>
      </w:r>
      <w:proofErr w:type="spellStart"/>
      <w:r w:rsidRPr="0001024D">
        <w:rPr>
          <w:sz w:val="16"/>
          <w:szCs w:val="16"/>
        </w:rPr>
        <w:t>edna</w:t>
      </w:r>
      <w:proofErr w:type="spellEnd"/>
      <w:r w:rsidRPr="0001024D">
        <w:rPr>
          <w:sz w:val="16"/>
          <w:szCs w:val="16"/>
        </w:rPr>
        <w:t xml:space="preserve"> Bundesverband Energiemarkt &amp; Kommunikation e.V. ist die Vereinigung von Softwareherstellern, Unternehmensberatern, IT-Dienstleistern und Unternehmen aus der Energiewirtschaft. Ziel von </w:t>
      </w:r>
      <w:proofErr w:type="spellStart"/>
      <w:r w:rsidRPr="0001024D">
        <w:rPr>
          <w:sz w:val="16"/>
          <w:szCs w:val="16"/>
        </w:rPr>
        <w:t>edna</w:t>
      </w:r>
      <w:proofErr w:type="spellEnd"/>
      <w:r w:rsidRPr="0001024D">
        <w:rPr>
          <w:sz w:val="16"/>
          <w:szCs w:val="16"/>
        </w:rPr>
        <w:t xml:space="preserve"> ist es, die Unternehmen bei der digitalen Transformation der Energiemärkte zu unterstützen. Dabei stehen die Bereiche Strukturierung, Standardisierung und Information im Vordergrund. Gleichzeitig unterstützt </w:t>
      </w:r>
      <w:proofErr w:type="spellStart"/>
      <w:r w:rsidRPr="0001024D">
        <w:rPr>
          <w:sz w:val="16"/>
          <w:szCs w:val="16"/>
        </w:rPr>
        <w:t>edna</w:t>
      </w:r>
      <w:proofErr w:type="spellEnd"/>
      <w:r w:rsidRPr="0001024D">
        <w:rPr>
          <w:sz w:val="16"/>
          <w:szCs w:val="16"/>
        </w:rPr>
        <w:t xml:space="preserve">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4D0AC4C5" w14:textId="77777777" w:rsidR="0001024D" w:rsidRPr="0001024D" w:rsidRDefault="0001024D" w:rsidP="0001024D">
      <w:pPr>
        <w:ind w:right="-2410"/>
        <w:rPr>
          <w:sz w:val="16"/>
          <w:szCs w:val="16"/>
        </w:rPr>
      </w:pPr>
      <w:r w:rsidRPr="0001024D">
        <w:rPr>
          <w:b/>
          <w:bCs/>
          <w:sz w:val="16"/>
          <w:szCs w:val="16"/>
        </w:rPr>
        <w:t>Über den VBEW:</w:t>
      </w:r>
      <w:r w:rsidRPr="0001024D">
        <w:rPr>
          <w:sz w:val="16"/>
          <w:szCs w:val="16"/>
        </w:rPr>
        <w:br/>
        <w:t>Der Verband der Bayerischen Energie- und Wasserwirtschaft e.V. - VBEW - repräsentiert mit seinen rund 400 Mitgliedsunternehmen die bayerische Strom-, Gas-, Fernwärme-, Wasser- und Abwasserwirtschaft. Zu den Mitgliedsunternehmen zählen kleine und mittlere, kommunale, private und genossenschaftliche Energie- und Wasserversorgungsunternehmen ebenso wie Konzernunternehmen. Als großer Landesverband im Bundesverband der Energie- und Wasserwirtschaft e. V. - BDEW vertritt der VBEW in Bayern die gemeinsamen Anliegen aller Mitgliedsunternehmen und ihrer Kunden gegenüber Vertretern aus Politik, Wirtschaft und Verwaltung sowie in der Öffentlichkeit. Ziel ist es, die bestmöglichen Rahmenbedingungen für eine wirtschaftliche, zukunftsorientierte, nachhaltige und verbraucherfreundliche Energie- und Wasserversorgung zu schaffen.</w:t>
      </w:r>
    </w:p>
    <w:p w14:paraId="312BA52A" w14:textId="77777777" w:rsidR="0001024D" w:rsidRPr="0001024D" w:rsidRDefault="0001024D" w:rsidP="000102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hAnsi="Arial"/>
          <w:sz w:val="16"/>
          <w:szCs w:val="16"/>
        </w:rPr>
      </w:pPr>
    </w:p>
    <w:p w14:paraId="339FC1A0" w14:textId="1D5D57E7" w:rsidR="002B7FE5" w:rsidRPr="0001024D" w:rsidRDefault="002B7FE5" w:rsidP="0001024D"/>
    <w:sectPr w:rsidR="002B7FE5" w:rsidRPr="0001024D"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EFD32F" w14:textId="77777777" w:rsidR="00C53D3F" w:rsidRDefault="00C53D3F">
      <w:pPr>
        <w:spacing w:after="0"/>
      </w:pPr>
      <w:r>
        <w:separator/>
      </w:r>
    </w:p>
  </w:endnote>
  <w:endnote w:type="continuationSeparator" w:id="0">
    <w:p w14:paraId="26A3AC3B" w14:textId="77777777" w:rsidR="00C53D3F" w:rsidRDefault="00C53D3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AA8E6" w14:textId="77777777" w:rsidR="00C53D3F" w:rsidRDefault="00C53D3F">
      <w:pPr>
        <w:spacing w:after="0"/>
      </w:pPr>
      <w:r>
        <w:separator/>
      </w:r>
    </w:p>
  </w:footnote>
  <w:footnote w:type="continuationSeparator" w:id="0">
    <w:p w14:paraId="7B10E8F9" w14:textId="77777777" w:rsidR="00C53D3F" w:rsidRDefault="00C53D3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D56BB" w14:textId="5E685949" w:rsidR="007636EC" w:rsidRPr="001A3F84" w:rsidRDefault="004B251F" w:rsidP="000E7D3C">
    <w:pPr>
      <w:spacing w:after="0"/>
      <w:ind w:right="-2410"/>
      <w:jc w:val="right"/>
      <w:rPr>
        <w:rFonts w:ascii="Times New Roman" w:eastAsia="Times New Roman" w:hAnsi="Times New Roman"/>
        <w:sz w:val="24"/>
        <w:szCs w:val="24"/>
        <w:lang w:eastAsia="de-DE" w:bidi="th-TH"/>
      </w:rPr>
    </w:pPr>
    <w:r w:rsidRPr="0038661F">
      <w:rPr>
        <w:noProof/>
        <w:color w:val="FF0000"/>
        <w:sz w:val="28"/>
        <w:szCs w:val="28"/>
      </w:rPr>
      <w:drawing>
        <wp:anchor distT="0" distB="0" distL="114300" distR="114300" simplePos="0" relativeHeight="251659264" behindDoc="1" locked="0" layoutInCell="1" allowOverlap="1" wp14:anchorId="643632D7" wp14:editId="0E493C79">
          <wp:simplePos x="0" y="0"/>
          <wp:positionH relativeFrom="column">
            <wp:posOffset>0</wp:posOffset>
          </wp:positionH>
          <wp:positionV relativeFrom="paragraph">
            <wp:posOffset>-635</wp:posOffset>
          </wp:positionV>
          <wp:extent cx="1924050" cy="714375"/>
          <wp:effectExtent l="0" t="0" r="0" b="0"/>
          <wp:wrapNone/>
          <wp:docPr id="2" name="Bild 2" descr="Ein Bild, das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descr="Ein Bild, das Zeichnung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sidR="001A3F84">
      <w:rPr>
        <w:rFonts w:ascii="Times New Roman" w:eastAsia="Times New Roman" w:hAnsi="Times New Roman"/>
        <w:sz w:val="24"/>
        <w:szCs w:val="24"/>
        <w:lang w:eastAsia="de-DE" w:bidi="th-TH"/>
      </w:rPr>
      <w:t xml:space="preserve">   </w:t>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r>
    <w:r w:rsidR="001A3F84">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2"/>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24D"/>
    <w:rsid w:val="00010A33"/>
    <w:rsid w:val="00014D6D"/>
    <w:rsid w:val="0001553E"/>
    <w:rsid w:val="000161EC"/>
    <w:rsid w:val="0002357A"/>
    <w:rsid w:val="00026D5E"/>
    <w:rsid w:val="00030FF6"/>
    <w:rsid w:val="000335B8"/>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A2366"/>
    <w:rsid w:val="000B2A21"/>
    <w:rsid w:val="000B2F6A"/>
    <w:rsid w:val="000B42DF"/>
    <w:rsid w:val="000C093E"/>
    <w:rsid w:val="000C160F"/>
    <w:rsid w:val="000C24DC"/>
    <w:rsid w:val="000C29D4"/>
    <w:rsid w:val="000C3D63"/>
    <w:rsid w:val="000C401B"/>
    <w:rsid w:val="000C477A"/>
    <w:rsid w:val="000C6715"/>
    <w:rsid w:val="000D0C42"/>
    <w:rsid w:val="000D0D49"/>
    <w:rsid w:val="000E063E"/>
    <w:rsid w:val="000E4037"/>
    <w:rsid w:val="000E500B"/>
    <w:rsid w:val="000E510A"/>
    <w:rsid w:val="000E6888"/>
    <w:rsid w:val="000E7356"/>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4699F"/>
    <w:rsid w:val="00150070"/>
    <w:rsid w:val="00156AA0"/>
    <w:rsid w:val="00160A0E"/>
    <w:rsid w:val="001615EA"/>
    <w:rsid w:val="00164444"/>
    <w:rsid w:val="00181B86"/>
    <w:rsid w:val="00183A65"/>
    <w:rsid w:val="001853FE"/>
    <w:rsid w:val="0018557E"/>
    <w:rsid w:val="0019010E"/>
    <w:rsid w:val="0019489D"/>
    <w:rsid w:val="00196799"/>
    <w:rsid w:val="0019691C"/>
    <w:rsid w:val="001A11CD"/>
    <w:rsid w:val="001A1822"/>
    <w:rsid w:val="001A2945"/>
    <w:rsid w:val="001A3795"/>
    <w:rsid w:val="001A3F84"/>
    <w:rsid w:val="001B365F"/>
    <w:rsid w:val="001B4F38"/>
    <w:rsid w:val="001B5512"/>
    <w:rsid w:val="001B568D"/>
    <w:rsid w:val="001B76E8"/>
    <w:rsid w:val="001C2A7C"/>
    <w:rsid w:val="001C668E"/>
    <w:rsid w:val="001D138A"/>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6997"/>
    <w:rsid w:val="002B7FE5"/>
    <w:rsid w:val="002C3111"/>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660"/>
    <w:rsid w:val="00357F53"/>
    <w:rsid w:val="003603EA"/>
    <w:rsid w:val="003604AB"/>
    <w:rsid w:val="00360A69"/>
    <w:rsid w:val="00361176"/>
    <w:rsid w:val="0036188A"/>
    <w:rsid w:val="0036224A"/>
    <w:rsid w:val="00362BCE"/>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3F32"/>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B251F"/>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64E"/>
    <w:rsid w:val="00582DD5"/>
    <w:rsid w:val="0058742D"/>
    <w:rsid w:val="00587629"/>
    <w:rsid w:val="005A094D"/>
    <w:rsid w:val="005A1C53"/>
    <w:rsid w:val="005A270C"/>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529B"/>
    <w:rsid w:val="005E5DF0"/>
    <w:rsid w:val="005F1122"/>
    <w:rsid w:val="005F1817"/>
    <w:rsid w:val="005F2E8C"/>
    <w:rsid w:val="005F63B8"/>
    <w:rsid w:val="005F7516"/>
    <w:rsid w:val="005F75B5"/>
    <w:rsid w:val="00602705"/>
    <w:rsid w:val="00602C1B"/>
    <w:rsid w:val="00602D92"/>
    <w:rsid w:val="00604680"/>
    <w:rsid w:val="00605D81"/>
    <w:rsid w:val="006125D6"/>
    <w:rsid w:val="0061423A"/>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4FD7"/>
    <w:rsid w:val="00676428"/>
    <w:rsid w:val="00680058"/>
    <w:rsid w:val="00680546"/>
    <w:rsid w:val="0068082B"/>
    <w:rsid w:val="00680D84"/>
    <w:rsid w:val="00681511"/>
    <w:rsid w:val="00685CA3"/>
    <w:rsid w:val="00694590"/>
    <w:rsid w:val="00697251"/>
    <w:rsid w:val="006A2CBD"/>
    <w:rsid w:val="006A64C6"/>
    <w:rsid w:val="006A6BBC"/>
    <w:rsid w:val="006B08F5"/>
    <w:rsid w:val="006B3171"/>
    <w:rsid w:val="006B6AA4"/>
    <w:rsid w:val="006C5292"/>
    <w:rsid w:val="006D14EC"/>
    <w:rsid w:val="006D16FA"/>
    <w:rsid w:val="006D3EE1"/>
    <w:rsid w:val="006E3BDF"/>
    <w:rsid w:val="006E4492"/>
    <w:rsid w:val="006E5E3D"/>
    <w:rsid w:val="006E7684"/>
    <w:rsid w:val="006F00F8"/>
    <w:rsid w:val="006F043B"/>
    <w:rsid w:val="006F0ECA"/>
    <w:rsid w:val="006F13BA"/>
    <w:rsid w:val="006F1D26"/>
    <w:rsid w:val="006F31C9"/>
    <w:rsid w:val="006F7FE2"/>
    <w:rsid w:val="0070252C"/>
    <w:rsid w:val="007030BE"/>
    <w:rsid w:val="00704F19"/>
    <w:rsid w:val="0070796F"/>
    <w:rsid w:val="00707E6E"/>
    <w:rsid w:val="00710956"/>
    <w:rsid w:val="00710CF9"/>
    <w:rsid w:val="00712A2B"/>
    <w:rsid w:val="00712E57"/>
    <w:rsid w:val="0071404C"/>
    <w:rsid w:val="00715BCD"/>
    <w:rsid w:val="00731F2F"/>
    <w:rsid w:val="00731F3E"/>
    <w:rsid w:val="007334FF"/>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0923"/>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3C8E"/>
    <w:rsid w:val="00934760"/>
    <w:rsid w:val="00941037"/>
    <w:rsid w:val="0094184D"/>
    <w:rsid w:val="00941CE9"/>
    <w:rsid w:val="009462D5"/>
    <w:rsid w:val="00946D85"/>
    <w:rsid w:val="009511CF"/>
    <w:rsid w:val="00960D4D"/>
    <w:rsid w:val="00964F93"/>
    <w:rsid w:val="00970FCC"/>
    <w:rsid w:val="00971A51"/>
    <w:rsid w:val="00972E33"/>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9F7A30"/>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B0227C"/>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65E"/>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37A39"/>
    <w:rsid w:val="00C42E10"/>
    <w:rsid w:val="00C470C5"/>
    <w:rsid w:val="00C53064"/>
    <w:rsid w:val="00C53D3F"/>
    <w:rsid w:val="00C5481D"/>
    <w:rsid w:val="00C5669E"/>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3678"/>
    <w:rsid w:val="00D369E0"/>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3F38"/>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C5EE9"/>
    <w:rsid w:val="00EC7E71"/>
    <w:rsid w:val="00ED2A55"/>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D1387"/>
    <w:rsid w:val="00FD37DE"/>
    <w:rsid w:val="00FD4139"/>
    <w:rsid w:val="00FD4A88"/>
    <w:rsid w:val="00FD664F"/>
    <w:rsid w:val="00FD7BA3"/>
    <w:rsid w:val="00FE354A"/>
    <w:rsid w:val="00FE41FA"/>
    <w:rsid w:val="00FE59AE"/>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4">
    <w:name w:val="heading 4"/>
    <w:basedOn w:val="Standard"/>
    <w:next w:val="Standard"/>
    <w:link w:val="berschrift4Zchn"/>
    <w:rsid w:val="00933C8E"/>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4Zchn">
    <w:name w:val="Überschrift 4 Zchn"/>
    <w:basedOn w:val="Absatz-Standardschriftart"/>
    <w:link w:val="berschrift4"/>
    <w:rsid w:val="00933C8E"/>
    <w:rPr>
      <w:rFonts w:asciiTheme="majorHAnsi" w:eastAsiaTheme="majorEastAsia" w:hAnsiTheme="majorHAnsi" w:cstheme="majorBidi"/>
      <w:i/>
      <w:iCs/>
      <w:color w:val="365F91" w:themeColor="accent1" w:themeShade="BF"/>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292121">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034226">
      <w:bodyDiv w:val="1"/>
      <w:marLeft w:val="0"/>
      <w:marRight w:val="0"/>
      <w:marTop w:val="0"/>
      <w:marBottom w:val="0"/>
      <w:divBdr>
        <w:top w:val="none" w:sz="0" w:space="0" w:color="auto"/>
        <w:left w:val="none" w:sz="0" w:space="0" w:color="auto"/>
        <w:bottom w:val="none" w:sz="0" w:space="0" w:color="auto"/>
        <w:right w:val="none" w:sz="0" w:space="0" w:color="auto"/>
      </w:divBdr>
      <w:divsChild>
        <w:div w:id="1316766492">
          <w:marLeft w:val="0"/>
          <w:marRight w:val="0"/>
          <w:marTop w:val="0"/>
          <w:marBottom w:val="0"/>
          <w:divBdr>
            <w:top w:val="none" w:sz="0" w:space="0" w:color="auto"/>
            <w:left w:val="none" w:sz="0" w:space="0" w:color="auto"/>
            <w:bottom w:val="none" w:sz="0" w:space="0" w:color="auto"/>
            <w:right w:val="none" w:sz="0" w:space="0" w:color="auto"/>
          </w:divBdr>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78858588">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731727">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6971300">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10827">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777</Words>
  <Characters>4898</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5664</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2020-09-21T08:59:00Z</cp:lastPrinted>
  <dcterms:created xsi:type="dcterms:W3CDTF">2020-09-21T10:30:00Z</dcterms:created>
  <dcterms:modified xsi:type="dcterms:W3CDTF">2020-09-22T06:08:00Z</dcterms:modified>
  <cp:category/>
</cp:coreProperties>
</file>