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0B8FA8F2"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14699F">
        <w:rPr>
          <w:sz w:val="20"/>
        </w:rPr>
        <w:t>6</w:t>
      </w:r>
      <w:r>
        <w:rPr>
          <w:sz w:val="20"/>
        </w:rPr>
        <w:t xml:space="preserve">. </w:t>
      </w:r>
      <w:r w:rsidR="0014699F">
        <w:rPr>
          <w:sz w:val="20"/>
        </w:rPr>
        <w:t>August</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222FC0ED" w:rsidR="00B82C52" w:rsidRPr="003603EA" w:rsidRDefault="00710CF9"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proofErr w:type="spellStart"/>
      <w:r>
        <w:rPr>
          <w:b/>
          <w:bCs/>
          <w:sz w:val="28"/>
          <w:szCs w:val="28"/>
        </w:rPr>
        <w:t>edna</w:t>
      </w:r>
      <w:proofErr w:type="spellEnd"/>
      <w:r>
        <w:rPr>
          <w:b/>
          <w:bCs/>
          <w:sz w:val="28"/>
          <w:szCs w:val="28"/>
        </w:rPr>
        <w:t xml:space="preserve"> Initiative EVU+ für de-minimis-Regelung </w:t>
      </w:r>
      <w:r>
        <w:rPr>
          <w:b/>
          <w:bCs/>
          <w:sz w:val="28"/>
          <w:szCs w:val="28"/>
        </w:rPr>
        <w:br/>
        <w:t>bei Post-EEG PV-Anlagen</w:t>
      </w:r>
    </w:p>
    <w:bookmarkEnd w:id="0"/>
    <w:bookmarkEnd w:id="1"/>
    <w:bookmarkEnd w:id="2"/>
    <w:bookmarkEnd w:id="3"/>
    <w:p w14:paraId="6A423DBF" w14:textId="11252B84" w:rsidR="000E7D3C" w:rsidRPr="000E7D3C" w:rsidRDefault="00710CF9"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Konkreter Vorschlag für einen Änderung des §21b EEG</w:t>
      </w:r>
    </w:p>
    <w:p w14:paraId="216A887D" w14:textId="77777777" w:rsidR="00EF4881" w:rsidRDefault="00EF4881"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rPr>
      </w:pPr>
    </w:p>
    <w:p w14:paraId="63C7CC48" w14:textId="0941B5D1" w:rsidR="00710CF9"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Pr>
          <w:b/>
          <w:bCs/>
          <w:spacing w:val="-1"/>
          <w:sz w:val="20"/>
        </w:rPr>
        <w:t xml:space="preserve">Im Jahr 2021 </w:t>
      </w:r>
      <w:r w:rsidRPr="00710CF9">
        <w:rPr>
          <w:b/>
          <w:bCs/>
          <w:spacing w:val="-1"/>
          <w:sz w:val="20"/>
        </w:rPr>
        <w:t>werden die ersten EEG-geförderten Anlagen aus der Förderung herausfallen. Gerade bei den Betreibern kleiner PV-Anlagen stellt sich die Frage nach einem sinnvollen Weiterbetrieb.</w:t>
      </w:r>
      <w:r>
        <w:rPr>
          <w:b/>
          <w:bCs/>
          <w:spacing w:val="-1"/>
          <w:sz w:val="20"/>
        </w:rPr>
        <w:t xml:space="preserve"> Um den zu sichern, schlägt der </w:t>
      </w:r>
      <w:proofErr w:type="spellStart"/>
      <w:r>
        <w:rPr>
          <w:b/>
          <w:bCs/>
          <w:spacing w:val="-1"/>
          <w:sz w:val="20"/>
        </w:rPr>
        <w:t>edna</w:t>
      </w:r>
      <w:proofErr w:type="spellEnd"/>
      <w:r>
        <w:rPr>
          <w:b/>
          <w:bCs/>
          <w:spacing w:val="-1"/>
          <w:sz w:val="20"/>
        </w:rPr>
        <w:t xml:space="preserve"> Bundesverband Energiemarkt &amp; Kommunikation gemeinsam mit der neuformierten Initiative EVU+ eine Neufassung des </w:t>
      </w:r>
      <w:r w:rsidRPr="00710CF9">
        <w:rPr>
          <w:b/>
          <w:bCs/>
          <w:spacing w:val="-1"/>
          <w:sz w:val="20"/>
        </w:rPr>
        <w:t>§21b EEG</w:t>
      </w:r>
      <w:r>
        <w:rPr>
          <w:b/>
          <w:bCs/>
          <w:spacing w:val="-1"/>
          <w:sz w:val="20"/>
        </w:rPr>
        <w:t xml:space="preserve"> vor. „</w:t>
      </w:r>
      <w:r w:rsidRPr="00710CF9">
        <w:rPr>
          <w:b/>
          <w:bCs/>
          <w:spacing w:val="-1"/>
          <w:sz w:val="20"/>
        </w:rPr>
        <w:t xml:space="preserve">Der </w:t>
      </w:r>
      <w:r>
        <w:rPr>
          <w:b/>
          <w:bCs/>
          <w:spacing w:val="-1"/>
          <w:sz w:val="20"/>
        </w:rPr>
        <w:t xml:space="preserve">mögliche </w:t>
      </w:r>
      <w:r w:rsidRPr="00710CF9">
        <w:rPr>
          <w:b/>
          <w:bCs/>
          <w:spacing w:val="-1"/>
          <w:sz w:val="20"/>
        </w:rPr>
        <w:t xml:space="preserve">Umbau </w:t>
      </w:r>
      <w:r>
        <w:rPr>
          <w:b/>
          <w:bCs/>
          <w:spacing w:val="-1"/>
          <w:sz w:val="20"/>
        </w:rPr>
        <w:t xml:space="preserve">der Anlagen </w:t>
      </w:r>
      <w:r w:rsidRPr="00710CF9">
        <w:rPr>
          <w:b/>
          <w:bCs/>
          <w:spacing w:val="-1"/>
          <w:sz w:val="20"/>
        </w:rPr>
        <w:t>auf Eigenversorgung mit Überschusseinspeisung bedeutet nach heutiger Rechtslage, dass Einspeisung und Bilanzierung auf Basis von ¼ h Werten vorgenommen werden müssen. Für alle PV-Anlagen unter 7 kW</w:t>
      </w:r>
      <w:r w:rsidR="00362BCE">
        <w:rPr>
          <w:b/>
          <w:bCs/>
          <w:spacing w:val="-1"/>
          <w:sz w:val="20"/>
        </w:rPr>
        <w:t>p</w:t>
      </w:r>
      <w:r w:rsidRPr="00710CF9">
        <w:rPr>
          <w:b/>
          <w:bCs/>
          <w:spacing w:val="-1"/>
          <w:sz w:val="20"/>
        </w:rPr>
        <w:t xml:space="preserve">, bei denen also nicht verpflichtend ein </w:t>
      </w:r>
      <w:proofErr w:type="spellStart"/>
      <w:r w:rsidRPr="00710CF9">
        <w:rPr>
          <w:b/>
          <w:bCs/>
          <w:spacing w:val="-1"/>
          <w:sz w:val="20"/>
        </w:rPr>
        <w:t>iMSys</w:t>
      </w:r>
      <w:proofErr w:type="spellEnd"/>
      <w:r w:rsidRPr="00710CF9">
        <w:rPr>
          <w:b/>
          <w:bCs/>
          <w:spacing w:val="-1"/>
          <w:sz w:val="20"/>
        </w:rPr>
        <w:t xml:space="preserve"> eingesetzt werden muss, steht dieser Aufwand in keinem Verhältnis zu einem möglichen Ertrag. Von daher wird es entweder zu einer großen Zahl wilder Einspeisungen kommen oder aber es besteht die Gefahr einer Stilllegung</w:t>
      </w:r>
      <w:r>
        <w:rPr>
          <w:b/>
          <w:bCs/>
          <w:spacing w:val="-1"/>
          <w:sz w:val="20"/>
        </w:rPr>
        <w:t xml:space="preserve">“, beschreibt </w:t>
      </w:r>
      <w:proofErr w:type="spellStart"/>
      <w:r>
        <w:rPr>
          <w:b/>
          <w:bCs/>
          <w:spacing w:val="-1"/>
          <w:sz w:val="20"/>
        </w:rPr>
        <w:t>edna-Geschäftsführer</w:t>
      </w:r>
      <w:proofErr w:type="spellEnd"/>
      <w:r>
        <w:rPr>
          <w:b/>
          <w:bCs/>
          <w:spacing w:val="-1"/>
          <w:sz w:val="20"/>
        </w:rPr>
        <w:t xml:space="preserve"> Rüdiger Winkler das Problem. Konkret könnte der neue Gesetzestext wi</w:t>
      </w:r>
      <w:r w:rsidR="000E7356">
        <w:rPr>
          <w:b/>
          <w:bCs/>
          <w:spacing w:val="-1"/>
          <w:sz w:val="20"/>
        </w:rPr>
        <w:t>e</w:t>
      </w:r>
      <w:r>
        <w:rPr>
          <w:b/>
          <w:bCs/>
          <w:spacing w:val="-1"/>
          <w:sz w:val="20"/>
        </w:rPr>
        <w:t xml:space="preserve"> folgt lauten:</w:t>
      </w:r>
    </w:p>
    <w:p w14:paraId="6A3D171F" w14:textId="77777777" w:rsidR="00710CF9"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p>
    <w:p w14:paraId="31DDDF7A" w14:textId="5EEDCC69" w:rsidR="00710CF9" w:rsidRPr="00710CF9"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18"/>
          <w:szCs w:val="18"/>
        </w:rPr>
      </w:pPr>
      <w:r w:rsidRPr="00710CF9">
        <w:rPr>
          <w:b/>
          <w:bCs/>
          <w:spacing w:val="-1"/>
          <w:sz w:val="18"/>
          <w:szCs w:val="18"/>
        </w:rPr>
        <w:t>§ 21b Zuordnung zu einer Veräußerungsform, Wechsel</w:t>
      </w:r>
    </w:p>
    <w:p w14:paraId="27D32C0E" w14:textId="77777777" w:rsidR="00710CF9" w:rsidRPr="00710CF9"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18"/>
          <w:szCs w:val="18"/>
        </w:rPr>
      </w:pPr>
      <w:r w:rsidRPr="00710CF9">
        <w:rPr>
          <w:spacing w:val="-1"/>
          <w:sz w:val="18"/>
          <w:szCs w:val="18"/>
        </w:rPr>
        <w:t xml:space="preserve">(3) Die Zuordnung einer Anlage oder eines prozentualen Anteils des erzeugten Stroms einer Anlage zur Veräußerungsform einer Direktvermarktung ist nur dann zulässig, wenn die gesamte Ist-Einspeisung der Anlage in viertelstündlicher Auflösung gemessen und bilanziert wird. </w:t>
      </w:r>
    </w:p>
    <w:p w14:paraId="6B4DDBAB" w14:textId="6F6882F8" w:rsidR="00710CF9" w:rsidRPr="00710CF9"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18"/>
          <w:szCs w:val="18"/>
        </w:rPr>
      </w:pPr>
      <w:r w:rsidRPr="00710CF9">
        <w:rPr>
          <w:b/>
          <w:bCs/>
          <w:spacing w:val="-1"/>
          <w:sz w:val="18"/>
          <w:szCs w:val="18"/>
        </w:rPr>
        <w:br/>
        <w:t xml:space="preserve">Neue </w:t>
      </w:r>
      <w:r w:rsidR="0058264E">
        <w:rPr>
          <w:b/>
          <w:bCs/>
          <w:spacing w:val="-1"/>
          <w:sz w:val="18"/>
          <w:szCs w:val="18"/>
        </w:rPr>
        <w:t>Nummer</w:t>
      </w:r>
      <w:r w:rsidRPr="00FE59AE">
        <w:rPr>
          <w:b/>
          <w:bCs/>
          <w:spacing w:val="-1"/>
          <w:sz w:val="18"/>
          <w:szCs w:val="18"/>
        </w:rPr>
        <w:t xml:space="preserve"> 4 der </w:t>
      </w:r>
      <w:r w:rsidRPr="00710CF9">
        <w:rPr>
          <w:b/>
          <w:bCs/>
          <w:spacing w:val="-1"/>
          <w:sz w:val="18"/>
          <w:szCs w:val="18"/>
        </w:rPr>
        <w:t>§21</w:t>
      </w:r>
    </w:p>
    <w:p w14:paraId="311947A2" w14:textId="7F1317C1" w:rsidR="00710CF9" w:rsidRPr="00FE59AE" w:rsidRDefault="0058264E"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18"/>
          <w:szCs w:val="18"/>
        </w:rPr>
      </w:pPr>
      <w:r>
        <w:rPr>
          <w:spacing w:val="-1"/>
          <w:sz w:val="18"/>
          <w:szCs w:val="18"/>
        </w:rPr>
        <w:t xml:space="preserve">(4) </w:t>
      </w:r>
      <w:r w:rsidR="00710CF9" w:rsidRPr="00FE59AE">
        <w:rPr>
          <w:spacing w:val="-1"/>
          <w:sz w:val="18"/>
          <w:szCs w:val="18"/>
        </w:rPr>
        <w:t>Die Pflicht zur Messung und Bilanzierung der Anlage in viertelstündlicher Auflösung entfällt für solare Strahlungsenergie mit einer Leistung unter 7 kW, sofern eine Volleinspeisung praktiziert und</w:t>
      </w:r>
      <w:r w:rsidR="00972E33">
        <w:rPr>
          <w:spacing w:val="-1"/>
          <w:sz w:val="18"/>
          <w:szCs w:val="18"/>
        </w:rPr>
        <w:t xml:space="preserve"> </w:t>
      </w:r>
      <w:r w:rsidR="00972E33" w:rsidRPr="00972E33">
        <w:rPr>
          <w:spacing w:val="-1"/>
          <w:sz w:val="18"/>
          <w:szCs w:val="18"/>
        </w:rPr>
        <w:t>für die Bilanzierung Einspeiseprofile verwendet werden.</w:t>
      </w:r>
    </w:p>
    <w:p w14:paraId="0D9665E3" w14:textId="5DCF760D" w:rsidR="0022740A" w:rsidRDefault="0022740A"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p>
    <w:p w14:paraId="3575F2C7" w14:textId="0894DE12" w:rsidR="00FE59AE" w:rsidRDefault="00710CF9"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710CF9">
        <w:rPr>
          <w:spacing w:val="-1"/>
          <w:sz w:val="20"/>
        </w:rPr>
        <w:t xml:space="preserve">Die vorgeschlagene „de-minimis-Regelung“ </w:t>
      </w:r>
      <w:r>
        <w:rPr>
          <w:spacing w:val="-1"/>
          <w:sz w:val="20"/>
        </w:rPr>
        <w:t>würde</w:t>
      </w:r>
      <w:r w:rsidRPr="00710CF9">
        <w:rPr>
          <w:spacing w:val="-1"/>
          <w:sz w:val="20"/>
        </w:rPr>
        <w:t xml:space="preserve"> Betreibern von ausgeförderten PV-Kleinanlagen einen pragmatischen Weiterbetrieb </w:t>
      </w:r>
      <w:r w:rsidR="00FE59AE">
        <w:rPr>
          <w:spacing w:val="-1"/>
          <w:sz w:val="20"/>
        </w:rPr>
        <w:t xml:space="preserve">ermöglichen – </w:t>
      </w:r>
      <w:r w:rsidRPr="00710CF9">
        <w:rPr>
          <w:spacing w:val="-1"/>
          <w:sz w:val="20"/>
        </w:rPr>
        <w:t xml:space="preserve">ohne Umbau der Messung und damit ohne zusätzliche Kosten. Im Gegensatz zu Vorschlägen, bei denen eine weitere Einspeisung beim Netzbetreiber vorgeschlagen wird, </w:t>
      </w:r>
      <w:r>
        <w:rPr>
          <w:spacing w:val="-1"/>
          <w:sz w:val="20"/>
        </w:rPr>
        <w:t>ist diese Lösung</w:t>
      </w:r>
      <w:r w:rsidRPr="00710CF9">
        <w:rPr>
          <w:spacing w:val="-1"/>
          <w:sz w:val="20"/>
        </w:rPr>
        <w:t xml:space="preserve"> marktorientiert </w:t>
      </w:r>
      <w:r>
        <w:rPr>
          <w:spacing w:val="-1"/>
          <w:sz w:val="20"/>
        </w:rPr>
        <w:t xml:space="preserve">und kann </w:t>
      </w:r>
      <w:r w:rsidRPr="00710CF9">
        <w:rPr>
          <w:spacing w:val="-1"/>
          <w:sz w:val="20"/>
        </w:rPr>
        <w:t>die Systemintegration voran</w:t>
      </w:r>
      <w:r>
        <w:rPr>
          <w:spacing w:val="-1"/>
          <w:sz w:val="20"/>
        </w:rPr>
        <w:t>t</w:t>
      </w:r>
      <w:r w:rsidRPr="00710CF9">
        <w:rPr>
          <w:spacing w:val="-1"/>
          <w:sz w:val="20"/>
        </w:rPr>
        <w:t xml:space="preserve">reiben. Für eine Volleinspeisung aus solchen Anlagen existieren bereits heute Einspeiseprofile, mit deren Hilfe die Energie im Bilanzkreis eines Lieferanten </w:t>
      </w:r>
      <w:r w:rsidRPr="00710CF9">
        <w:rPr>
          <w:spacing w:val="-1"/>
          <w:sz w:val="20"/>
        </w:rPr>
        <w:lastRenderedPageBreak/>
        <w:t xml:space="preserve">oder </w:t>
      </w:r>
      <w:proofErr w:type="spellStart"/>
      <w:r w:rsidRPr="00710CF9">
        <w:rPr>
          <w:spacing w:val="-1"/>
          <w:sz w:val="20"/>
        </w:rPr>
        <w:t>Aggregators</w:t>
      </w:r>
      <w:proofErr w:type="spellEnd"/>
      <w:r w:rsidRPr="00710CF9">
        <w:rPr>
          <w:spacing w:val="-1"/>
          <w:sz w:val="20"/>
        </w:rPr>
        <w:t xml:space="preserve"> aufgenommen werden </w:t>
      </w:r>
      <w:r>
        <w:rPr>
          <w:spacing w:val="-1"/>
          <w:sz w:val="20"/>
        </w:rPr>
        <w:t>kann</w:t>
      </w:r>
      <w:r w:rsidRPr="00710CF9">
        <w:rPr>
          <w:spacing w:val="-1"/>
          <w:sz w:val="20"/>
        </w:rPr>
        <w:t>. Eine Vergütung des aufgenommenen Stroms wird vom aufnehmenden Lieferanten festgelegt, z.B. in Höhe eines um die Transaktionskosten verringerten energieträgerspezifischen Marktwertes. Damit entsteht ein Wettbewerb um die Energie aus ausgeförderten Kleinanlagen und die damit wohl meist gekoppelten Lieferverträge.</w:t>
      </w:r>
      <w:r w:rsidR="00FE59AE">
        <w:rPr>
          <w:spacing w:val="-1"/>
          <w:sz w:val="20"/>
        </w:rPr>
        <w:t xml:space="preserve"> </w:t>
      </w:r>
      <w:r w:rsidRPr="00710CF9">
        <w:rPr>
          <w:spacing w:val="-1"/>
          <w:sz w:val="20"/>
        </w:rPr>
        <w:t>Im Vergleich zum sogenannten „Symmetriemodell“ der BNetzA entsteht dadurch weder ein komplexer Abwicklungsaufwand noch wird der Netzbetreiber weiterhin mit einer EEG-</w:t>
      </w:r>
      <w:proofErr w:type="spellStart"/>
      <w:r w:rsidRPr="00710CF9">
        <w:rPr>
          <w:spacing w:val="-1"/>
          <w:sz w:val="20"/>
        </w:rPr>
        <w:t>Wälzung</w:t>
      </w:r>
      <w:proofErr w:type="spellEnd"/>
      <w:r w:rsidRPr="00710CF9">
        <w:rPr>
          <w:spacing w:val="-1"/>
          <w:sz w:val="20"/>
        </w:rPr>
        <w:t xml:space="preserve"> belastet.</w:t>
      </w:r>
      <w:r w:rsidRPr="00710CF9">
        <w:rPr>
          <w:spacing w:val="-1"/>
          <w:sz w:val="20"/>
        </w:rPr>
        <w:br/>
      </w:r>
    </w:p>
    <w:p w14:paraId="5D29E8F3" w14:textId="2D179AA9" w:rsidR="00D83F38" w:rsidRPr="00D83F38" w:rsidRDefault="00FE59AE" w:rsidP="00D83F38">
      <w:pPr>
        <w:spacing w:line="360" w:lineRule="auto"/>
        <w:rPr>
          <w:spacing w:val="-1"/>
          <w:sz w:val="20"/>
        </w:rPr>
      </w:pPr>
      <w:r w:rsidRPr="00FE59AE">
        <w:rPr>
          <w:b/>
          <w:bCs/>
          <w:spacing w:val="-1"/>
          <w:sz w:val="20"/>
        </w:rPr>
        <w:t xml:space="preserve">Der Vorschlag, der diese Woche dem </w:t>
      </w:r>
      <w:proofErr w:type="spellStart"/>
      <w:r w:rsidRPr="00FE59AE">
        <w:rPr>
          <w:b/>
          <w:bCs/>
          <w:spacing w:val="-1"/>
          <w:sz w:val="20"/>
        </w:rPr>
        <w:t>BMWi</w:t>
      </w:r>
      <w:proofErr w:type="spellEnd"/>
      <w:r w:rsidRPr="00FE59AE">
        <w:rPr>
          <w:b/>
          <w:bCs/>
          <w:spacing w:val="-1"/>
          <w:sz w:val="20"/>
        </w:rPr>
        <w:t xml:space="preserve"> übermittelt wurde, wird im Rahmen der Initiative EVU+ von folgenden kleinen und mittleren Energieversorgern unterstützt:</w:t>
      </w:r>
      <w:r w:rsidRPr="00FE59AE">
        <w:rPr>
          <w:spacing w:val="-1"/>
          <w:sz w:val="16"/>
          <w:szCs w:val="16"/>
        </w:rPr>
        <w:t xml:space="preserve"> </w:t>
      </w:r>
      <w:r>
        <w:rPr>
          <w:spacing w:val="-1"/>
          <w:sz w:val="16"/>
          <w:szCs w:val="16"/>
        </w:rPr>
        <w:br/>
      </w:r>
      <w:r w:rsidR="0058264E" w:rsidRPr="00FE59AE">
        <w:rPr>
          <w:spacing w:val="-1"/>
          <w:sz w:val="20"/>
        </w:rPr>
        <w:t xml:space="preserve">EW Tegernsee, EW Schmid, </w:t>
      </w:r>
      <w:proofErr w:type="spellStart"/>
      <w:r w:rsidR="0058264E" w:rsidRPr="00FE59AE">
        <w:rPr>
          <w:spacing w:val="-1"/>
          <w:sz w:val="20"/>
        </w:rPr>
        <w:t>Mamming</w:t>
      </w:r>
      <w:proofErr w:type="spellEnd"/>
      <w:r w:rsidR="0058264E" w:rsidRPr="00FE59AE">
        <w:rPr>
          <w:spacing w:val="-1"/>
          <w:sz w:val="20"/>
        </w:rPr>
        <w:t xml:space="preserve">, Elektrizitätsvereinigung </w:t>
      </w:r>
      <w:proofErr w:type="spellStart"/>
      <w:r w:rsidR="0058264E" w:rsidRPr="00FE59AE">
        <w:rPr>
          <w:spacing w:val="-1"/>
          <w:sz w:val="20"/>
        </w:rPr>
        <w:t>Böbing</w:t>
      </w:r>
      <w:proofErr w:type="spellEnd"/>
      <w:r w:rsidR="0058264E" w:rsidRPr="00FE59AE">
        <w:rPr>
          <w:spacing w:val="-1"/>
          <w:sz w:val="20"/>
        </w:rPr>
        <w:t xml:space="preserve"> eG, Stromversorgung Inzell, Elektra </w:t>
      </w:r>
      <w:proofErr w:type="spellStart"/>
      <w:r w:rsidR="0058264E" w:rsidRPr="00FE59AE">
        <w:rPr>
          <w:spacing w:val="-1"/>
          <w:sz w:val="20"/>
        </w:rPr>
        <w:t>Effeltrich</w:t>
      </w:r>
      <w:proofErr w:type="spellEnd"/>
      <w:r w:rsidR="0058264E" w:rsidRPr="00FE59AE">
        <w:rPr>
          <w:spacing w:val="-1"/>
          <w:sz w:val="20"/>
        </w:rPr>
        <w:t xml:space="preserve"> eG, </w:t>
      </w:r>
      <w:proofErr w:type="spellStart"/>
      <w:r w:rsidR="0058264E" w:rsidRPr="00FE59AE">
        <w:rPr>
          <w:spacing w:val="-1"/>
          <w:sz w:val="20"/>
        </w:rPr>
        <w:t>Westenthanner</w:t>
      </w:r>
      <w:proofErr w:type="spellEnd"/>
      <w:r w:rsidR="0058264E" w:rsidRPr="00FE59AE">
        <w:rPr>
          <w:spacing w:val="-1"/>
          <w:sz w:val="20"/>
        </w:rPr>
        <w:t xml:space="preserve"> Energieversorgung GmbH, </w:t>
      </w:r>
      <w:proofErr w:type="spellStart"/>
      <w:r w:rsidR="0058264E" w:rsidRPr="00FE59AE">
        <w:rPr>
          <w:spacing w:val="-1"/>
          <w:sz w:val="20"/>
        </w:rPr>
        <w:t>Dorfen</w:t>
      </w:r>
      <w:proofErr w:type="spellEnd"/>
      <w:r w:rsidR="0058264E" w:rsidRPr="00FE59AE">
        <w:rPr>
          <w:spacing w:val="-1"/>
          <w:sz w:val="20"/>
        </w:rPr>
        <w:t xml:space="preserve">, Elektrizitätsgenossenschaft </w:t>
      </w:r>
      <w:proofErr w:type="spellStart"/>
      <w:r w:rsidR="0058264E" w:rsidRPr="00FE59AE">
        <w:rPr>
          <w:spacing w:val="-1"/>
          <w:sz w:val="20"/>
        </w:rPr>
        <w:t>Ohlstadt</w:t>
      </w:r>
      <w:proofErr w:type="spellEnd"/>
      <w:r w:rsidR="0058264E" w:rsidRPr="00FE59AE">
        <w:rPr>
          <w:spacing w:val="-1"/>
          <w:sz w:val="20"/>
        </w:rPr>
        <w:t xml:space="preserve"> eG, </w:t>
      </w:r>
      <w:r w:rsidR="0058264E" w:rsidRPr="0018557E">
        <w:rPr>
          <w:spacing w:val="-1"/>
          <w:sz w:val="20"/>
        </w:rPr>
        <w:t>E-Werk Schweiger, Schwaig</w:t>
      </w:r>
      <w:r w:rsidR="0058264E">
        <w:rPr>
          <w:spacing w:val="-1"/>
          <w:sz w:val="20"/>
        </w:rPr>
        <w:t xml:space="preserve">, </w:t>
      </w:r>
      <w:proofErr w:type="spellStart"/>
      <w:r w:rsidR="0058264E" w:rsidRPr="00FE59AE">
        <w:rPr>
          <w:spacing w:val="-1"/>
          <w:sz w:val="20"/>
        </w:rPr>
        <w:t>Ewerk</w:t>
      </w:r>
      <w:proofErr w:type="spellEnd"/>
      <w:r w:rsidR="0058264E" w:rsidRPr="00FE59AE">
        <w:rPr>
          <w:spacing w:val="-1"/>
          <w:sz w:val="20"/>
        </w:rPr>
        <w:t xml:space="preserve">-Geiger GmbH, </w:t>
      </w:r>
      <w:proofErr w:type="spellStart"/>
      <w:r w:rsidR="0058264E" w:rsidRPr="00FE59AE">
        <w:rPr>
          <w:spacing w:val="-1"/>
          <w:sz w:val="20"/>
        </w:rPr>
        <w:t>Arrach</w:t>
      </w:r>
      <w:proofErr w:type="spellEnd"/>
      <w:r w:rsidR="0058264E" w:rsidRPr="00FE59AE">
        <w:rPr>
          <w:spacing w:val="-1"/>
          <w:sz w:val="20"/>
        </w:rPr>
        <w:t xml:space="preserve">, Elektrizitätsgenossenschaft </w:t>
      </w:r>
      <w:proofErr w:type="spellStart"/>
      <w:r w:rsidR="0058264E" w:rsidRPr="00FE59AE">
        <w:rPr>
          <w:spacing w:val="-1"/>
          <w:sz w:val="20"/>
        </w:rPr>
        <w:t>Wolkersdorf</w:t>
      </w:r>
      <w:proofErr w:type="spellEnd"/>
      <w:r w:rsidR="0058264E" w:rsidRPr="00FE59AE">
        <w:rPr>
          <w:spacing w:val="-1"/>
          <w:sz w:val="20"/>
        </w:rPr>
        <w:t xml:space="preserve">, Gemeindewerke </w:t>
      </w:r>
      <w:proofErr w:type="spellStart"/>
      <w:r w:rsidR="0058264E" w:rsidRPr="00FE59AE">
        <w:rPr>
          <w:spacing w:val="-1"/>
          <w:sz w:val="20"/>
        </w:rPr>
        <w:t>Nüdlingen</w:t>
      </w:r>
      <w:proofErr w:type="spellEnd"/>
      <w:r w:rsidR="0058264E" w:rsidRPr="00FE59AE">
        <w:rPr>
          <w:spacing w:val="-1"/>
          <w:sz w:val="20"/>
        </w:rPr>
        <w:t xml:space="preserve">, Gemeindewerke Glattbach, Stadtwerke Bad </w:t>
      </w:r>
      <w:proofErr w:type="spellStart"/>
      <w:r w:rsidR="0058264E" w:rsidRPr="00FE59AE">
        <w:rPr>
          <w:spacing w:val="-1"/>
          <w:sz w:val="20"/>
        </w:rPr>
        <w:t>Brückenau</w:t>
      </w:r>
      <w:proofErr w:type="spellEnd"/>
      <w:r w:rsidR="0058264E" w:rsidRPr="00FE59AE">
        <w:rPr>
          <w:spacing w:val="-1"/>
          <w:sz w:val="20"/>
        </w:rPr>
        <w:t xml:space="preserve">, Stadtwerke Bad Neustadt </w:t>
      </w:r>
      <w:proofErr w:type="spellStart"/>
      <w:r w:rsidR="0058264E" w:rsidRPr="00FE59AE">
        <w:rPr>
          <w:spacing w:val="-1"/>
          <w:sz w:val="20"/>
        </w:rPr>
        <w:t>a.d.</w:t>
      </w:r>
      <w:proofErr w:type="spellEnd"/>
      <w:r w:rsidR="0058264E" w:rsidRPr="00FE59AE">
        <w:rPr>
          <w:spacing w:val="-1"/>
          <w:sz w:val="20"/>
        </w:rPr>
        <w:t xml:space="preserve"> Saale, Stadtwerke Bad Säckingen, Elektra </w:t>
      </w:r>
      <w:proofErr w:type="spellStart"/>
      <w:r w:rsidR="0058264E" w:rsidRPr="00FE59AE">
        <w:rPr>
          <w:spacing w:val="-1"/>
          <w:sz w:val="20"/>
        </w:rPr>
        <w:t>Pinzberg</w:t>
      </w:r>
      <w:proofErr w:type="spellEnd"/>
      <w:r w:rsidR="0058264E" w:rsidRPr="00FE59AE">
        <w:rPr>
          <w:spacing w:val="-1"/>
          <w:sz w:val="20"/>
        </w:rPr>
        <w:t xml:space="preserve"> eG, E-Werke Haniel </w:t>
      </w:r>
      <w:proofErr w:type="spellStart"/>
      <w:r w:rsidR="0058264E" w:rsidRPr="00FE59AE">
        <w:rPr>
          <w:spacing w:val="-1"/>
          <w:sz w:val="20"/>
        </w:rPr>
        <w:t>Haimhausen</w:t>
      </w:r>
      <w:proofErr w:type="spellEnd"/>
      <w:r w:rsidR="0058264E" w:rsidRPr="00FE59AE">
        <w:rPr>
          <w:spacing w:val="-1"/>
          <w:sz w:val="20"/>
        </w:rPr>
        <w:t xml:space="preserve"> OHG, Stadtwerke Brühl</w:t>
      </w:r>
      <w:r w:rsidR="0058264E">
        <w:rPr>
          <w:spacing w:val="-1"/>
          <w:sz w:val="20"/>
        </w:rPr>
        <w:t xml:space="preserve">, </w:t>
      </w:r>
      <w:r w:rsidR="0058264E" w:rsidRPr="00D83F38">
        <w:rPr>
          <w:spacing w:val="-1"/>
          <w:sz w:val="20"/>
        </w:rPr>
        <w:t>Überlandzentrale Wörth/I.-</w:t>
      </w:r>
      <w:proofErr w:type="spellStart"/>
      <w:r w:rsidR="0058264E" w:rsidRPr="00D83F38">
        <w:rPr>
          <w:spacing w:val="-1"/>
          <w:sz w:val="20"/>
        </w:rPr>
        <w:t>Altheim</w:t>
      </w:r>
      <w:proofErr w:type="spellEnd"/>
      <w:r w:rsidR="0058264E" w:rsidRPr="00D83F38">
        <w:rPr>
          <w:spacing w:val="-1"/>
          <w:sz w:val="20"/>
        </w:rPr>
        <w:t xml:space="preserve"> Netz AG</w:t>
      </w:r>
      <w:r w:rsidR="0058264E">
        <w:rPr>
          <w:spacing w:val="-1"/>
          <w:sz w:val="20"/>
        </w:rPr>
        <w:t xml:space="preserve">, </w:t>
      </w:r>
      <w:r w:rsidR="0058264E" w:rsidRPr="009B5F24">
        <w:rPr>
          <w:spacing w:val="-1"/>
          <w:sz w:val="20"/>
        </w:rPr>
        <w:t>Stadtwerke Stadtroda</w:t>
      </w:r>
      <w:r w:rsidR="0058264E" w:rsidRPr="00D83F38">
        <w:rPr>
          <w:spacing w:val="-1"/>
          <w:sz w:val="20"/>
        </w:rPr>
        <w:t xml:space="preserve"> </w:t>
      </w:r>
      <w:r w:rsidR="0058264E" w:rsidRPr="009B5F24">
        <w:rPr>
          <w:spacing w:val="-1"/>
          <w:sz w:val="20"/>
        </w:rPr>
        <w:t>GmbH</w:t>
      </w:r>
      <w:r w:rsidR="0058264E">
        <w:rPr>
          <w:spacing w:val="-1"/>
          <w:sz w:val="20"/>
        </w:rPr>
        <w:t xml:space="preserve">, </w:t>
      </w:r>
      <w:r w:rsidR="0058264E" w:rsidRPr="00D83F38">
        <w:rPr>
          <w:spacing w:val="-1"/>
          <w:sz w:val="20"/>
        </w:rPr>
        <w:t>S</w:t>
      </w:r>
      <w:r w:rsidR="0058264E" w:rsidRPr="009B5F24">
        <w:rPr>
          <w:spacing w:val="-1"/>
          <w:sz w:val="20"/>
        </w:rPr>
        <w:t xml:space="preserve">tromversorgung </w:t>
      </w:r>
      <w:proofErr w:type="spellStart"/>
      <w:r w:rsidR="0058264E" w:rsidRPr="009B5F24">
        <w:rPr>
          <w:spacing w:val="-1"/>
          <w:sz w:val="20"/>
        </w:rPr>
        <w:t>Seebruck</w:t>
      </w:r>
      <w:proofErr w:type="spellEnd"/>
      <w:r w:rsidR="0058264E" w:rsidRPr="009B5F24">
        <w:rPr>
          <w:spacing w:val="-1"/>
          <w:sz w:val="20"/>
        </w:rPr>
        <w:t xml:space="preserve"> eG</w:t>
      </w:r>
      <w:r w:rsidR="0058264E">
        <w:rPr>
          <w:spacing w:val="-1"/>
          <w:sz w:val="20"/>
        </w:rPr>
        <w:t>, Stadtwerke Ditzingen</w:t>
      </w:r>
      <w:r w:rsidR="006A64C6">
        <w:rPr>
          <w:spacing w:val="-1"/>
          <w:sz w:val="20"/>
        </w:rPr>
        <w:t xml:space="preserve">, Stadtwerke </w:t>
      </w:r>
      <w:proofErr w:type="spellStart"/>
      <w:r w:rsidR="006A64C6">
        <w:rPr>
          <w:spacing w:val="-1"/>
          <w:sz w:val="20"/>
        </w:rPr>
        <w:t>Rödental</w:t>
      </w:r>
      <w:proofErr w:type="spellEnd"/>
      <w:r w:rsidR="006A64C6">
        <w:rPr>
          <w:spacing w:val="-1"/>
          <w:sz w:val="20"/>
        </w:rPr>
        <w:t>.</w:t>
      </w:r>
      <w:r w:rsidR="00D83F38" w:rsidRPr="009B5F24">
        <w:rPr>
          <w:spacing w:val="-1"/>
          <w:sz w:val="20"/>
        </w:rPr>
        <w:t xml:space="preserve"> </w:t>
      </w:r>
    </w:p>
    <w:p w14:paraId="7BEA620E" w14:textId="2BDA9256" w:rsidR="00DD7C6B" w:rsidRPr="00FE59AE" w:rsidRDefault="00FE59AE"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2126"/>
        <w:rPr>
          <w:spacing w:val="-1"/>
          <w:sz w:val="16"/>
          <w:szCs w:val="16"/>
        </w:rPr>
      </w:pPr>
      <w:r w:rsidRPr="00FE59AE">
        <w:rPr>
          <w:spacing w:val="-1"/>
          <w:sz w:val="20"/>
        </w:rPr>
        <w:t>.</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58264E"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53E5BEB4"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DD7C6B">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6A64C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6A64C6">
              <w:rPr>
                <w:sz w:val="16"/>
                <w:szCs w:val="16"/>
              </w:rPr>
              <w:t>Tel.: +49 7621 16308 18 - Fax: +49 7621 5500 261</w:t>
            </w:r>
          </w:p>
          <w:p w14:paraId="5DCA0653" w14:textId="77777777" w:rsidR="007F4129" w:rsidRPr="006A64C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6A64C6">
              <w:rPr>
                <w:sz w:val="16"/>
                <w:szCs w:val="16"/>
              </w:rPr>
              <w:t>winkler</w:t>
            </w:r>
            <w:r w:rsidR="00DE37F1" w:rsidRPr="006A64C6">
              <w:rPr>
                <w:sz w:val="16"/>
                <w:szCs w:val="16"/>
              </w:rPr>
              <w:t>@</w:t>
            </w:r>
            <w:r w:rsidRPr="006A64C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6A64C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A64C6">
              <w:rPr>
                <w:sz w:val="16"/>
                <w:szCs w:val="16"/>
              </w:rPr>
              <w:t xml:space="preserve">Tel.: +49 731 96287-29 - Fax: +49 731 96287-97 </w:t>
            </w:r>
          </w:p>
          <w:p w14:paraId="054F5071" w14:textId="77777777" w:rsidR="007F4129" w:rsidRPr="006A64C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6A64C6">
              <w:rPr>
                <w:sz w:val="16"/>
                <w:szCs w:val="16"/>
              </w:rPr>
              <w:t>upa@</w:t>
            </w:r>
            <w:r w:rsidR="007F4129" w:rsidRPr="006A64C6">
              <w:rPr>
                <w:sz w:val="16"/>
                <w:szCs w:val="16"/>
              </w:rPr>
              <w:t xml:space="preserve">press-n-relations.de - </w:t>
            </w:r>
            <w:hyperlink r:id="rId8" w:history="1">
              <w:r w:rsidR="007F4129" w:rsidRPr="006A64C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003004B"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w:t>
      </w:r>
      <w:r w:rsidR="0055311C">
        <w:rPr>
          <w:rFonts w:ascii="Arial" w:hAnsi="Arial"/>
          <w:sz w:val="16"/>
          <w:szCs w:val="16"/>
        </w:rPr>
        <w:lastRenderedPageBreak/>
        <w:t>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E5294" w14:textId="77777777" w:rsidR="00150070" w:rsidRDefault="00150070">
      <w:pPr>
        <w:spacing w:after="0"/>
      </w:pPr>
      <w:r>
        <w:separator/>
      </w:r>
    </w:p>
  </w:endnote>
  <w:endnote w:type="continuationSeparator" w:id="0">
    <w:p w14:paraId="66F9B6B5" w14:textId="77777777" w:rsidR="00150070" w:rsidRDefault="0015007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C6F8BA" w14:textId="77777777" w:rsidR="00150070" w:rsidRDefault="00150070">
      <w:pPr>
        <w:spacing w:after="0"/>
      </w:pPr>
      <w:r>
        <w:separator/>
      </w:r>
    </w:p>
  </w:footnote>
  <w:footnote w:type="continuationSeparator" w:id="0">
    <w:p w14:paraId="287C780F" w14:textId="77777777" w:rsidR="00150070" w:rsidRDefault="0015007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A2366"/>
    <w:rsid w:val="000B2A21"/>
    <w:rsid w:val="000B2F6A"/>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356"/>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4699F"/>
    <w:rsid w:val="00150070"/>
    <w:rsid w:val="00156AA0"/>
    <w:rsid w:val="00160A0E"/>
    <w:rsid w:val="001615EA"/>
    <w:rsid w:val="00164444"/>
    <w:rsid w:val="00181B86"/>
    <w:rsid w:val="00183A65"/>
    <w:rsid w:val="001853FE"/>
    <w:rsid w:val="0018557E"/>
    <w:rsid w:val="0019010E"/>
    <w:rsid w:val="0019489D"/>
    <w:rsid w:val="0019691C"/>
    <w:rsid w:val="001A11CD"/>
    <w:rsid w:val="001A2945"/>
    <w:rsid w:val="001A379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BCE"/>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3F32"/>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64E"/>
    <w:rsid w:val="00582DD5"/>
    <w:rsid w:val="0058742D"/>
    <w:rsid w:val="00587629"/>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423A"/>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5CA3"/>
    <w:rsid w:val="00694590"/>
    <w:rsid w:val="00697251"/>
    <w:rsid w:val="006A2CBD"/>
    <w:rsid w:val="006A64C6"/>
    <w:rsid w:val="006A6BBC"/>
    <w:rsid w:val="006B08F5"/>
    <w:rsid w:val="006B3171"/>
    <w:rsid w:val="006B6AA4"/>
    <w:rsid w:val="006C5292"/>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0CF9"/>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0923"/>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2E33"/>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37A39"/>
    <w:rsid w:val="00C42E10"/>
    <w:rsid w:val="00C470C5"/>
    <w:rsid w:val="00C53064"/>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9E0"/>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3F38"/>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354A"/>
    <w:rsid w:val="00FE41FA"/>
    <w:rsid w:val="00FE59AE"/>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78858588">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10827">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909</Words>
  <Characters>5729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6625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8</cp:revision>
  <cp:lastPrinted>2020-07-02T13:37:00Z</cp:lastPrinted>
  <dcterms:created xsi:type="dcterms:W3CDTF">2020-08-05T12:41:00Z</dcterms:created>
  <dcterms:modified xsi:type="dcterms:W3CDTF">2020-08-07T11:34:00Z</dcterms:modified>
  <cp:category/>
</cp:coreProperties>
</file>