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FD7A8"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B613428" w14:textId="563E0D3F"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FB7153">
        <w:rPr>
          <w:sz w:val="20"/>
        </w:rPr>
        <w:t>,</w:t>
      </w:r>
      <w:r>
        <w:rPr>
          <w:sz w:val="20"/>
        </w:rPr>
        <w:t xml:space="preserve"> </w:t>
      </w:r>
      <w:r w:rsidR="00EF10CC">
        <w:rPr>
          <w:sz w:val="20"/>
        </w:rPr>
        <w:t>12</w:t>
      </w:r>
      <w:r w:rsidR="00A560BE">
        <w:rPr>
          <w:sz w:val="20"/>
        </w:rPr>
        <w:t xml:space="preserve">. </w:t>
      </w:r>
      <w:r w:rsidR="00EF10CC">
        <w:rPr>
          <w:sz w:val="20"/>
        </w:rPr>
        <w:t>September</w:t>
      </w:r>
      <w:r>
        <w:rPr>
          <w:sz w:val="20"/>
        </w:rPr>
        <w:t xml:space="preserve"> 201</w:t>
      </w:r>
      <w:r w:rsidR="00FB7153">
        <w:rPr>
          <w:sz w:val="20"/>
        </w:rPr>
        <w:t>7</w:t>
      </w:r>
    </w:p>
    <w:p w14:paraId="4B1A9A21" w14:textId="77777777" w:rsidR="00ED4273" w:rsidRDefault="00ED4273" w:rsidP="00ED4273">
      <w:pPr>
        <w:widowControl w:val="0"/>
        <w:tabs>
          <w:tab w:val="left" w:pos="2166"/>
        </w:tabs>
        <w:spacing w:after="0" w:line="288" w:lineRule="auto"/>
        <w:rPr>
          <w:sz w:val="20"/>
        </w:rPr>
      </w:pPr>
    </w:p>
    <w:p w14:paraId="7076ACB5" w14:textId="77777777" w:rsidR="00ED4273" w:rsidRDefault="00ED4273" w:rsidP="00393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05DEAEC5" w14:textId="0F28C91E" w:rsidR="0025223B" w:rsidRPr="0025223B" w:rsidRDefault="0025223B" w:rsidP="00085A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1843"/>
        <w:rPr>
          <w:b/>
          <w:bCs/>
          <w:sz w:val="28"/>
          <w:szCs w:val="28"/>
        </w:rPr>
      </w:pPr>
      <w:r w:rsidRPr="0025223B">
        <w:rPr>
          <w:b/>
          <w:bCs/>
          <w:sz w:val="28"/>
          <w:szCs w:val="28"/>
        </w:rPr>
        <w:t>Flexibilität</w:t>
      </w:r>
      <w:r w:rsidR="00085A72">
        <w:rPr>
          <w:b/>
          <w:bCs/>
          <w:sz w:val="28"/>
          <w:szCs w:val="28"/>
        </w:rPr>
        <w:t>: Schnellstmöglich regulatorische Maßnahmen ergreifen</w:t>
      </w:r>
      <w:r w:rsidRPr="0025223B">
        <w:rPr>
          <w:b/>
          <w:bCs/>
          <w:sz w:val="28"/>
          <w:szCs w:val="28"/>
        </w:rPr>
        <w:t xml:space="preserve"> </w:t>
      </w:r>
    </w:p>
    <w:p w14:paraId="69C9F267" w14:textId="4D1780DD" w:rsidR="0025223B" w:rsidRDefault="0025223B" w:rsidP="003B11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rPr>
      </w:pPr>
      <w:r w:rsidRPr="0025223B">
        <w:rPr>
          <w:b/>
          <w:bCs/>
        </w:rPr>
        <w:t>Neues EDNA-Fact</w:t>
      </w:r>
      <w:r w:rsidR="008147AC">
        <w:rPr>
          <w:b/>
          <w:bCs/>
        </w:rPr>
        <w:t>-S</w:t>
      </w:r>
      <w:r w:rsidRPr="0025223B">
        <w:rPr>
          <w:b/>
          <w:bCs/>
        </w:rPr>
        <w:t xml:space="preserve">heet „Flexibilitätsoptionen“ </w:t>
      </w:r>
      <w:r w:rsidR="0096466E">
        <w:rPr>
          <w:b/>
          <w:bCs/>
        </w:rPr>
        <w:t>ist verfügbar</w:t>
      </w:r>
    </w:p>
    <w:p w14:paraId="5E5AA667" w14:textId="77777777" w:rsidR="0025223B" w:rsidRDefault="0025223B" w:rsidP="003B11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rPr>
      </w:pPr>
    </w:p>
    <w:p w14:paraId="02B6990F" w14:textId="41B2D104" w:rsidR="00D31157" w:rsidRPr="00583C22" w:rsidRDefault="00D31157" w:rsidP="00D311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spacing w:val="-1"/>
          <w:sz w:val="20"/>
        </w:rPr>
      </w:pPr>
      <w:r>
        <w:rPr>
          <w:b/>
          <w:bCs/>
          <w:spacing w:val="-1"/>
          <w:sz w:val="20"/>
        </w:rPr>
        <w:t>Mit seinem neuen Fact-Sheet zu den „Flexibilitätsoptionen“ bringt der EDNA Bundesverband Energiemarkt &amp; Kommunikation e.V. jetzt mehr Klarheit in dieses komplexe Thema. Auf insgesamt 15 Seiten erklärt die gleichnamige EDNA-</w:t>
      </w:r>
      <w:r w:rsidRPr="00AE1B55">
        <w:rPr>
          <w:b/>
          <w:bCs/>
          <w:spacing w:val="-1"/>
          <w:sz w:val="20"/>
        </w:rPr>
        <w:t>Projektgruppe</w:t>
      </w:r>
      <w:r>
        <w:rPr>
          <w:b/>
          <w:bCs/>
          <w:spacing w:val="-1"/>
          <w:sz w:val="20"/>
        </w:rPr>
        <w:t xml:space="preserve"> (PG)</w:t>
      </w:r>
      <w:r w:rsidRPr="00AE1B55">
        <w:rPr>
          <w:b/>
          <w:bCs/>
          <w:spacing w:val="-1"/>
          <w:sz w:val="20"/>
        </w:rPr>
        <w:t>, welche Optionen, aber auch welche Hemmnisse für die Flexibilisierung des Strommarktes bestehen</w:t>
      </w:r>
      <w:r>
        <w:rPr>
          <w:b/>
          <w:bCs/>
          <w:spacing w:val="-1"/>
          <w:sz w:val="20"/>
        </w:rPr>
        <w:t>. Diskutiert wird zudem,</w:t>
      </w:r>
      <w:r w:rsidRPr="00AE1B55">
        <w:rPr>
          <w:b/>
          <w:bCs/>
          <w:spacing w:val="-1"/>
          <w:sz w:val="20"/>
        </w:rPr>
        <w:t xml:space="preserve"> welche Randbedingungen erfüllt sein müssen, damit </w:t>
      </w:r>
      <w:r>
        <w:rPr>
          <w:b/>
          <w:bCs/>
          <w:spacing w:val="-1"/>
          <w:sz w:val="20"/>
        </w:rPr>
        <w:t>dessen</w:t>
      </w:r>
      <w:r w:rsidRPr="00AE1B55">
        <w:rPr>
          <w:b/>
          <w:bCs/>
          <w:spacing w:val="-1"/>
          <w:sz w:val="20"/>
        </w:rPr>
        <w:t xml:space="preserve"> Transformation zu einer Erfolgsstory und einer </w:t>
      </w:r>
      <w:r>
        <w:rPr>
          <w:b/>
          <w:bCs/>
          <w:spacing w:val="-1"/>
          <w:sz w:val="20"/>
        </w:rPr>
        <w:t xml:space="preserve">echten </w:t>
      </w:r>
      <w:r w:rsidRPr="00AE1B55">
        <w:rPr>
          <w:b/>
          <w:bCs/>
          <w:spacing w:val="-1"/>
          <w:sz w:val="20"/>
        </w:rPr>
        <w:t>Chance für den Wirtschaftsstandort Deutschland wird.</w:t>
      </w:r>
      <w:r>
        <w:rPr>
          <w:b/>
          <w:bCs/>
          <w:spacing w:val="-1"/>
          <w:sz w:val="20"/>
        </w:rPr>
        <w:t xml:space="preserve"> „</w:t>
      </w:r>
      <w:r w:rsidRPr="00583C22">
        <w:rPr>
          <w:b/>
          <w:bCs/>
          <w:spacing w:val="-1"/>
          <w:sz w:val="20"/>
        </w:rPr>
        <w:t>Um d</w:t>
      </w:r>
      <w:r>
        <w:rPr>
          <w:b/>
          <w:bCs/>
          <w:spacing w:val="-1"/>
          <w:sz w:val="20"/>
        </w:rPr>
        <w:t>as</w:t>
      </w:r>
      <w:r w:rsidRPr="00583C22">
        <w:rPr>
          <w:b/>
          <w:bCs/>
          <w:spacing w:val="-1"/>
          <w:sz w:val="20"/>
        </w:rPr>
        <w:t xml:space="preserve"> </w:t>
      </w:r>
      <w:r>
        <w:rPr>
          <w:b/>
          <w:bCs/>
          <w:spacing w:val="-1"/>
          <w:sz w:val="20"/>
        </w:rPr>
        <w:t>Fundament</w:t>
      </w:r>
      <w:r w:rsidRPr="00583C22">
        <w:rPr>
          <w:b/>
          <w:bCs/>
          <w:spacing w:val="-1"/>
          <w:sz w:val="20"/>
        </w:rPr>
        <w:t xml:space="preserve"> für</w:t>
      </w:r>
      <w:r>
        <w:rPr>
          <w:b/>
          <w:bCs/>
          <w:spacing w:val="-1"/>
          <w:sz w:val="20"/>
        </w:rPr>
        <w:t xml:space="preserve"> erfolgreiche</w:t>
      </w:r>
      <w:r w:rsidRPr="00583C22">
        <w:rPr>
          <w:b/>
          <w:bCs/>
          <w:spacing w:val="-1"/>
          <w:sz w:val="20"/>
        </w:rPr>
        <w:t xml:space="preserve"> Flexibilitäts</w:t>
      </w:r>
      <w:r>
        <w:rPr>
          <w:b/>
          <w:bCs/>
          <w:spacing w:val="-1"/>
          <w:sz w:val="20"/>
        </w:rPr>
        <w:t>o</w:t>
      </w:r>
      <w:r w:rsidRPr="00583C22">
        <w:rPr>
          <w:b/>
          <w:bCs/>
          <w:spacing w:val="-1"/>
          <w:sz w:val="20"/>
        </w:rPr>
        <w:t xml:space="preserve">ptionen zu schaffen, müssen </w:t>
      </w:r>
      <w:r>
        <w:rPr>
          <w:b/>
          <w:bCs/>
          <w:spacing w:val="-1"/>
          <w:sz w:val="20"/>
        </w:rPr>
        <w:t xml:space="preserve">schnellstmöglich </w:t>
      </w:r>
      <w:r w:rsidRPr="00583C22">
        <w:rPr>
          <w:b/>
          <w:bCs/>
          <w:spacing w:val="-1"/>
          <w:sz w:val="20"/>
        </w:rPr>
        <w:t xml:space="preserve">regulatorische Maßnahmen ergriffen werden. EDNA sieht </w:t>
      </w:r>
      <w:r>
        <w:rPr>
          <w:b/>
          <w:bCs/>
          <w:spacing w:val="-1"/>
          <w:sz w:val="20"/>
        </w:rPr>
        <w:t xml:space="preserve">hier </w:t>
      </w:r>
      <w:r w:rsidRPr="00583C22">
        <w:rPr>
          <w:b/>
          <w:bCs/>
          <w:spacing w:val="-1"/>
          <w:sz w:val="20"/>
        </w:rPr>
        <w:t>die vorgesehene Weiterentwicklung der Regelenergiemärkte als vordringlich an</w:t>
      </w:r>
      <w:r>
        <w:rPr>
          <w:b/>
          <w:bCs/>
          <w:spacing w:val="-1"/>
          <w:sz w:val="20"/>
        </w:rPr>
        <w:t>“, fasst Richard Plum von der ProCom GmbH und Vorsitzender der EDNA-PG „</w:t>
      </w:r>
      <w:r w:rsidRPr="00CD059A">
        <w:rPr>
          <w:b/>
          <w:bCs/>
          <w:spacing w:val="-1"/>
          <w:sz w:val="20"/>
        </w:rPr>
        <w:t>Flexibilitätsoptionen</w:t>
      </w:r>
      <w:r>
        <w:rPr>
          <w:b/>
          <w:bCs/>
          <w:spacing w:val="-1"/>
          <w:sz w:val="20"/>
        </w:rPr>
        <w:t>“ die Voraussetzungen zusammen</w:t>
      </w:r>
      <w:r w:rsidRPr="00583C22">
        <w:rPr>
          <w:b/>
          <w:bCs/>
          <w:spacing w:val="-1"/>
          <w:sz w:val="20"/>
        </w:rPr>
        <w:t xml:space="preserve">. </w:t>
      </w:r>
      <w:r>
        <w:rPr>
          <w:b/>
          <w:bCs/>
          <w:spacing w:val="-1"/>
          <w:sz w:val="20"/>
        </w:rPr>
        <w:t>Z</w:t>
      </w:r>
      <w:r w:rsidRPr="00583C22">
        <w:rPr>
          <w:b/>
          <w:bCs/>
          <w:spacing w:val="-1"/>
          <w:sz w:val="20"/>
        </w:rPr>
        <w:t>entrale Punkte</w:t>
      </w:r>
      <w:r>
        <w:rPr>
          <w:b/>
          <w:bCs/>
          <w:spacing w:val="-1"/>
          <w:sz w:val="20"/>
        </w:rPr>
        <w:t xml:space="preserve"> sind dabei </w:t>
      </w:r>
      <w:r w:rsidRPr="00583C22">
        <w:rPr>
          <w:b/>
          <w:bCs/>
          <w:spacing w:val="-1"/>
          <w:sz w:val="20"/>
        </w:rPr>
        <w:t xml:space="preserve">kleinere Mindestleistungen, kürzere Vorlaufzeiten sowie </w:t>
      </w:r>
      <w:r>
        <w:rPr>
          <w:b/>
          <w:bCs/>
          <w:spacing w:val="-1"/>
          <w:sz w:val="20"/>
        </w:rPr>
        <w:t xml:space="preserve">die </w:t>
      </w:r>
      <w:r w:rsidRPr="00583C22">
        <w:rPr>
          <w:b/>
          <w:bCs/>
          <w:spacing w:val="-1"/>
          <w:sz w:val="20"/>
        </w:rPr>
        <w:t xml:space="preserve">Harmonisierung mit dem Intraday-Markt. </w:t>
      </w:r>
      <w:r>
        <w:rPr>
          <w:b/>
          <w:bCs/>
          <w:spacing w:val="-1"/>
          <w:sz w:val="20"/>
        </w:rPr>
        <w:t>„</w:t>
      </w:r>
      <w:r w:rsidRPr="00583C22">
        <w:rPr>
          <w:b/>
          <w:bCs/>
          <w:spacing w:val="-1"/>
          <w:sz w:val="20"/>
        </w:rPr>
        <w:t>Ergänzend kann langfristig auf einfache Präqualifikationsmöglichkeiten für die Teilnahme von Windkraftwerken und Photovoltaikanlagen am Regelenergiemarkt ebenfalls nicht verzichtet werden</w:t>
      </w:r>
      <w:r>
        <w:rPr>
          <w:b/>
          <w:bCs/>
          <w:spacing w:val="-1"/>
          <w:sz w:val="20"/>
        </w:rPr>
        <w:t>“, so das Fazit</w:t>
      </w:r>
      <w:r w:rsidRPr="00583C22">
        <w:rPr>
          <w:b/>
          <w:bCs/>
          <w:spacing w:val="-1"/>
          <w:sz w:val="20"/>
        </w:rPr>
        <w:t xml:space="preserve">. </w:t>
      </w:r>
      <w:r>
        <w:rPr>
          <w:b/>
          <w:bCs/>
          <w:spacing w:val="-1"/>
          <w:sz w:val="20"/>
        </w:rPr>
        <w:t xml:space="preserve"> </w:t>
      </w:r>
      <w:r w:rsidRPr="00583C22">
        <w:rPr>
          <w:b/>
          <w:bCs/>
          <w:spacing w:val="-1"/>
          <w:sz w:val="20"/>
        </w:rPr>
        <w:t>Um die Flexibilitätsoptionen für kleinere Leistungen heben</w:t>
      </w:r>
      <w:r>
        <w:rPr>
          <w:b/>
          <w:bCs/>
          <w:spacing w:val="-1"/>
          <w:sz w:val="20"/>
        </w:rPr>
        <w:t xml:space="preserve"> zu können, fordert der EDNA Bundesverband Energiemarkt &amp; Kommunikation e.V. </w:t>
      </w:r>
      <w:r w:rsidRPr="00583C22">
        <w:rPr>
          <w:b/>
          <w:bCs/>
          <w:spacing w:val="-1"/>
          <w:sz w:val="20"/>
        </w:rPr>
        <w:t>eine umgehende Vorlage der vorgesehenen Lastmanagementverordnung nach §</w:t>
      </w:r>
      <w:r>
        <w:rPr>
          <w:b/>
          <w:bCs/>
          <w:spacing w:val="-1"/>
          <w:sz w:val="20"/>
        </w:rPr>
        <w:t xml:space="preserve"> </w:t>
      </w:r>
      <w:r w:rsidRPr="00583C22">
        <w:rPr>
          <w:b/>
          <w:bCs/>
          <w:spacing w:val="-1"/>
          <w:sz w:val="20"/>
        </w:rPr>
        <w:t xml:space="preserve">14a EnWG für die Niederspannung. </w:t>
      </w:r>
      <w:r>
        <w:rPr>
          <w:b/>
          <w:bCs/>
          <w:spacing w:val="-1"/>
          <w:sz w:val="20"/>
        </w:rPr>
        <w:t xml:space="preserve">Das neue Fact-Sheet steht unter </w:t>
      </w:r>
      <w:hyperlink r:id="rId8" w:history="1">
        <w:r w:rsidRPr="00E21141">
          <w:rPr>
            <w:rStyle w:val="Link"/>
            <w:b/>
            <w:bCs/>
            <w:spacing w:val="-1"/>
            <w:sz w:val="20"/>
          </w:rPr>
          <w:t>www.edna-bundesverband.de</w:t>
        </w:r>
      </w:hyperlink>
      <w:r>
        <w:rPr>
          <w:b/>
          <w:bCs/>
          <w:spacing w:val="-1"/>
          <w:sz w:val="20"/>
        </w:rPr>
        <w:t xml:space="preserve"> frei zum Download zur Verfügung.</w:t>
      </w:r>
    </w:p>
    <w:p w14:paraId="2A9C4FB7" w14:textId="77777777" w:rsidR="0096466E" w:rsidRDefault="0096466E" w:rsidP="00583C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p>
    <w:p w14:paraId="379547C5" w14:textId="0F794BD4" w:rsidR="000E02A3" w:rsidRPr="00583C22" w:rsidRDefault="000E02A3" w:rsidP="000E02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r>
        <w:rPr>
          <w:spacing w:val="-1"/>
          <w:sz w:val="20"/>
        </w:rPr>
        <w:t>Im EDNA-Fact-Sheet werden die Poten</w:t>
      </w:r>
      <w:r w:rsidR="00073BC7">
        <w:rPr>
          <w:spacing w:val="-1"/>
          <w:sz w:val="20"/>
        </w:rPr>
        <w:t>z</w:t>
      </w:r>
      <w:r>
        <w:rPr>
          <w:spacing w:val="-1"/>
          <w:sz w:val="20"/>
        </w:rPr>
        <w:t>iale der unterschiedlichen technischen Flexibiliätsoptionen wie etwa Lastmanagement, Speichersysteme oder die Steuerung dezentraler Anlagen einzeln untersucht. Im zweiten Teil werden dann Maßnahmen wie die Öffnung der Regelenergiemärte oder Anreizsysteme für das Privatkundensegment sowohl bei der Einspeisung als auch beim Verbrauch diskutiert.</w:t>
      </w:r>
    </w:p>
    <w:p w14:paraId="1C29F490" w14:textId="77777777" w:rsidR="00A917CC" w:rsidRDefault="00A917CC" w:rsidP="00583C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p>
    <w:p w14:paraId="5F765C3D" w14:textId="5EFD4977" w:rsidR="00057C9B" w:rsidRPr="000E02A3" w:rsidRDefault="0096466E" w:rsidP="000E02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spacing w:val="-1"/>
          <w:sz w:val="20"/>
        </w:rPr>
      </w:pPr>
      <w:r w:rsidRPr="0096466E">
        <w:rPr>
          <w:spacing w:val="-1"/>
          <w:sz w:val="20"/>
        </w:rPr>
        <w:t xml:space="preserve">Bis zum Jahr 2050 wird der </w:t>
      </w:r>
      <w:r>
        <w:rPr>
          <w:spacing w:val="-1"/>
          <w:sz w:val="20"/>
        </w:rPr>
        <w:t xml:space="preserve">Anteil </w:t>
      </w:r>
      <w:r w:rsidRPr="0096466E">
        <w:rPr>
          <w:spacing w:val="-1"/>
          <w:sz w:val="20"/>
        </w:rPr>
        <w:t>erneuerbarer Energien</w:t>
      </w:r>
      <w:r>
        <w:rPr>
          <w:spacing w:val="-1"/>
          <w:sz w:val="20"/>
        </w:rPr>
        <w:t xml:space="preserve"> </w:t>
      </w:r>
      <w:r w:rsidRPr="0096466E">
        <w:rPr>
          <w:spacing w:val="-1"/>
          <w:sz w:val="20"/>
        </w:rPr>
        <w:t xml:space="preserve">an der gesamten Stromerzeugung (kWh) in Deutschland </w:t>
      </w:r>
      <w:r>
        <w:rPr>
          <w:spacing w:val="-1"/>
          <w:sz w:val="20"/>
        </w:rPr>
        <w:t xml:space="preserve">bei </w:t>
      </w:r>
      <w:r w:rsidRPr="0096466E">
        <w:rPr>
          <w:spacing w:val="-1"/>
          <w:sz w:val="20"/>
        </w:rPr>
        <w:t xml:space="preserve">mindestens achtzig Prozent </w:t>
      </w:r>
      <w:r>
        <w:rPr>
          <w:spacing w:val="-1"/>
          <w:sz w:val="20"/>
        </w:rPr>
        <w:t>liegen</w:t>
      </w:r>
      <w:r w:rsidRPr="0096466E">
        <w:rPr>
          <w:spacing w:val="-1"/>
          <w:sz w:val="20"/>
        </w:rPr>
        <w:t xml:space="preserve">. Die daraus resultierende Herausforderung besteht darin, dass ein Teil dieser Kapazitäten </w:t>
      </w:r>
      <w:r>
        <w:rPr>
          <w:spacing w:val="-1"/>
          <w:sz w:val="20"/>
        </w:rPr>
        <w:t>an</w:t>
      </w:r>
      <w:r w:rsidRPr="0096466E">
        <w:rPr>
          <w:spacing w:val="-1"/>
          <w:sz w:val="20"/>
        </w:rPr>
        <w:t xml:space="preserve">gebotsabhängig ist. Dies bedeutet, dass </w:t>
      </w:r>
      <w:r>
        <w:rPr>
          <w:spacing w:val="-1"/>
          <w:sz w:val="20"/>
        </w:rPr>
        <w:t xml:space="preserve">die </w:t>
      </w:r>
      <w:r w:rsidRPr="0096466E">
        <w:rPr>
          <w:spacing w:val="-1"/>
          <w:sz w:val="20"/>
        </w:rPr>
        <w:t xml:space="preserve">Stromproduktion </w:t>
      </w:r>
      <w:r>
        <w:rPr>
          <w:spacing w:val="-1"/>
          <w:sz w:val="20"/>
        </w:rPr>
        <w:t>w</w:t>
      </w:r>
      <w:r w:rsidRPr="0096466E">
        <w:rPr>
          <w:spacing w:val="-1"/>
          <w:sz w:val="20"/>
        </w:rPr>
        <w:t>etter</w:t>
      </w:r>
      <w:r>
        <w:rPr>
          <w:spacing w:val="-1"/>
          <w:sz w:val="20"/>
        </w:rPr>
        <w:t>bedingt fluktuiert</w:t>
      </w:r>
      <w:r w:rsidRPr="0096466E">
        <w:rPr>
          <w:spacing w:val="-1"/>
          <w:sz w:val="20"/>
        </w:rPr>
        <w:t xml:space="preserve">. </w:t>
      </w:r>
      <w:r>
        <w:rPr>
          <w:spacing w:val="-1"/>
          <w:sz w:val="20"/>
        </w:rPr>
        <w:t xml:space="preserve">Es </w:t>
      </w:r>
      <w:r>
        <w:rPr>
          <w:spacing w:val="-1"/>
          <w:sz w:val="20"/>
        </w:rPr>
        <w:lastRenderedPageBreak/>
        <w:t>gibt</w:t>
      </w:r>
      <w:r w:rsidRPr="0096466E">
        <w:rPr>
          <w:spacing w:val="-1"/>
          <w:sz w:val="20"/>
        </w:rPr>
        <w:t xml:space="preserve"> Zeiten, in denen entweder die Stromerzeugung die gleichzeitige Nachfrage übersteigt oder aber die Stromerzeugung nicht ausreicht, um den gleichzeitigen Strombedarf zu decken</w:t>
      </w:r>
      <w:r>
        <w:rPr>
          <w:spacing w:val="-1"/>
          <w:sz w:val="20"/>
        </w:rPr>
        <w:t xml:space="preserve"> – </w:t>
      </w:r>
      <w:r w:rsidRPr="0096466E">
        <w:rPr>
          <w:spacing w:val="-1"/>
          <w:sz w:val="20"/>
        </w:rPr>
        <w:t>beispielsweise an wolkigen sowie windarmen kalten Wintertagen. </w:t>
      </w:r>
      <w:r>
        <w:rPr>
          <w:spacing w:val="-1"/>
          <w:sz w:val="20"/>
        </w:rPr>
        <w:t xml:space="preserve"> </w:t>
      </w:r>
      <w:r w:rsidR="00583C22" w:rsidRPr="00583C22">
        <w:rPr>
          <w:spacing w:val="-1"/>
          <w:sz w:val="20"/>
        </w:rPr>
        <w:t xml:space="preserve">Damit deutschlandweit </w:t>
      </w:r>
      <w:r w:rsidR="00583C22">
        <w:rPr>
          <w:spacing w:val="-1"/>
          <w:sz w:val="20"/>
        </w:rPr>
        <w:t xml:space="preserve">die </w:t>
      </w:r>
      <w:r w:rsidR="00583C22" w:rsidRPr="00583C22">
        <w:rPr>
          <w:spacing w:val="-1"/>
          <w:sz w:val="20"/>
        </w:rPr>
        <w:t>System- b</w:t>
      </w:r>
      <w:r w:rsidR="00583C22">
        <w:rPr>
          <w:spacing w:val="-1"/>
          <w:sz w:val="20"/>
        </w:rPr>
        <w:t>eziehungsweise</w:t>
      </w:r>
      <w:r w:rsidR="00583C22" w:rsidRPr="00583C22">
        <w:rPr>
          <w:spacing w:val="-1"/>
          <w:sz w:val="20"/>
        </w:rPr>
        <w:t xml:space="preserve"> Netzstabilität gewährleistet </w:t>
      </w:r>
      <w:r w:rsidR="00583C22">
        <w:rPr>
          <w:spacing w:val="-1"/>
          <w:sz w:val="20"/>
        </w:rPr>
        <w:t>werden kann</w:t>
      </w:r>
      <w:r w:rsidR="00583C22" w:rsidRPr="00583C22">
        <w:rPr>
          <w:spacing w:val="-1"/>
          <w:sz w:val="20"/>
        </w:rPr>
        <w:t>, muss zu jedem Zeitpunkt die Stromerzeugung gleich dem Stromverbrauch sein.</w:t>
      </w:r>
      <w:r>
        <w:rPr>
          <w:spacing w:val="-1"/>
          <w:sz w:val="20"/>
        </w:rPr>
        <w:t xml:space="preserve"> (</w:t>
      </w:r>
      <w:r w:rsidRPr="0096466E">
        <w:rPr>
          <w:spacing w:val="-1"/>
          <w:sz w:val="20"/>
        </w:rPr>
        <w:t>Flexibilität = |Stromverbrauch – Stromerzeugung|</w:t>
      </w:r>
      <w:r>
        <w:rPr>
          <w:spacing w:val="-1"/>
          <w:sz w:val="20"/>
        </w:rPr>
        <w:t xml:space="preserve">). </w:t>
      </w:r>
      <w:r w:rsidRPr="00583C22">
        <w:rPr>
          <w:spacing w:val="-1"/>
          <w:sz w:val="20"/>
        </w:rPr>
        <w:t>Ändert</w:t>
      </w:r>
      <w:r w:rsidR="00583C22" w:rsidRPr="00583C22">
        <w:rPr>
          <w:spacing w:val="-1"/>
          <w:sz w:val="20"/>
        </w:rPr>
        <w:t xml:space="preserve"> sich eine Seite dieser Gleichung, muss die andere Seite nachziehen. </w:t>
      </w:r>
      <w:r>
        <w:rPr>
          <w:spacing w:val="-1"/>
          <w:sz w:val="20"/>
        </w:rPr>
        <w:t>Von Flexibilisierung wird gesprochen, s</w:t>
      </w:r>
      <w:r w:rsidR="00583C22" w:rsidRPr="00583C22">
        <w:rPr>
          <w:spacing w:val="-1"/>
          <w:sz w:val="20"/>
        </w:rPr>
        <w:t xml:space="preserve">obald die </w:t>
      </w:r>
      <w:r w:rsidRPr="00583C22">
        <w:rPr>
          <w:spacing w:val="-1"/>
          <w:sz w:val="20"/>
        </w:rPr>
        <w:t>Möglichkeit</w:t>
      </w:r>
      <w:r w:rsidR="00583C22" w:rsidRPr="00583C22">
        <w:rPr>
          <w:spacing w:val="-1"/>
          <w:sz w:val="20"/>
        </w:rPr>
        <w:t xml:space="preserve"> besteht, gezielt die Stromerzeugung oder den Stromverbrauch nach spezifischen Freiheitsgraden anzupassen. </w:t>
      </w:r>
    </w:p>
    <w:p w14:paraId="22F684E3" w14:textId="5778004E" w:rsidR="00057C9B" w:rsidRPr="00D21301" w:rsidRDefault="00057C9B"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ED4273" w:rsidRPr="002A0E4C" w14:paraId="7D35AA09" w14:textId="77777777" w:rsidTr="00A632D4">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F9A734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53458C30"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2E1FF105"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gramStart"/>
            <w:r>
              <w:rPr>
                <w:sz w:val="16"/>
                <w:szCs w:val="16"/>
              </w:rPr>
              <w:t>ifed.Institut</w:t>
            </w:r>
            <w:proofErr w:type="gramEnd"/>
            <w:r>
              <w:rPr>
                <w:sz w:val="16"/>
                <w:szCs w:val="16"/>
              </w:rPr>
              <w:t xml:space="preserve"> für Energiedienstleistungen GmbH</w:t>
            </w:r>
          </w:p>
          <w:p w14:paraId="1A6E0FA8"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0B5B5469" w14:textId="77777777" w:rsidR="00ED4273" w:rsidRDefault="00ED4273" w:rsidP="008F4480">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49C1F25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Pr>
                <w:sz w:val="16"/>
                <w:szCs w:val="16"/>
              </w:rPr>
              <w:t xml:space="preserve">winkler(at)edna-bundesverband.de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307B0EA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BED2F9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546E24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1B62DF50" w14:textId="77777777" w:rsidR="00ED4273" w:rsidRPr="006125D6"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 Fax: +49 731 96287-97 </w:t>
            </w:r>
          </w:p>
          <w:p w14:paraId="3B1DB1AA" w14:textId="77777777" w:rsidR="00ED4273" w:rsidRPr="00E47654"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9" w:history="1">
              <w:r>
                <w:rPr>
                  <w:rStyle w:val="Hyperlink0"/>
                  <w:sz w:val="16"/>
                  <w:szCs w:val="16"/>
                </w:rPr>
                <w:t>www.press-n-relations.de</w:t>
              </w:r>
            </w:hyperlink>
          </w:p>
        </w:tc>
      </w:tr>
    </w:tbl>
    <w:p w14:paraId="575B6023" w14:textId="6601F9BE" w:rsidR="00ED4273" w:rsidRDefault="00ED4273" w:rsidP="00ED4273">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783FB19"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3FE77CFC" w14:textId="709ACC64" w:rsidR="002B7FE5" w:rsidRPr="003963D2" w:rsidRDefault="00ED4273" w:rsidP="003963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Adesso AG, AKTIF Technology GmbH, ArcMind Technologies GmbH, </w:t>
      </w:r>
      <w:r w:rsidR="00B75F9E">
        <w:rPr>
          <w:rFonts w:ascii="Arial" w:hAnsi="Arial"/>
          <w:sz w:val="16"/>
          <w:szCs w:val="16"/>
        </w:rPr>
        <w:t xml:space="preserve">Aventis GmbH/Messhelden, </w:t>
      </w:r>
      <w:r>
        <w:rPr>
          <w:rFonts w:ascii="Arial" w:hAnsi="Arial"/>
          <w:sz w:val="16"/>
          <w:szCs w:val="16"/>
        </w:rPr>
        <w:t xml:space="preserve">Brady Energy AG (CH), Brady Energy AG (UK), BTC Business Technology Consulting AG, Compello GmbH, cortility GmbH, CURSOR Software AG, DNV GL, EmtoEmgo GmbH, EBSnet eEnergy Software GmbH, ECONES, ene’t GmbH, enmore consulting AG, ENSECO GmbH, </w:t>
      </w:r>
      <w:r w:rsidR="00B75F9E" w:rsidRPr="00B75F9E">
        <w:rPr>
          <w:rFonts w:ascii="Arial" w:hAnsi="Arial"/>
          <w:sz w:val="16"/>
          <w:szCs w:val="16"/>
        </w:rPr>
        <w:t>Ensys Solutions GmbH</w:t>
      </w:r>
      <w:r w:rsidR="00B75F9E">
        <w:rPr>
          <w:rFonts w:ascii="Arial" w:hAnsi="Arial"/>
          <w:sz w:val="16"/>
          <w:szCs w:val="16"/>
        </w:rPr>
        <w:t xml:space="preserve">, </w:t>
      </w:r>
      <w:r>
        <w:rPr>
          <w:rFonts w:ascii="Arial" w:hAnsi="Arial"/>
          <w:sz w:val="16"/>
          <w:szCs w:val="16"/>
        </w:rPr>
        <w:t xml:space="preserve">FACTUR Billing Solutions GmbH, Fraunhofer-Anwendungszentrum Systemtechnik (AST), GETEC Daten- und Abrechnungsmanagement GmbH, GISA GmbH, GÖRLITZ AG, HAKOM EDV Dienstleistungsges.m.b.H., HSAG Heidelberger Services Aktiengesellschaft, InterSystems GmbH, IVU Informationssysteme GmbH, IVU Softwareentwicklung GmbH, Kisters AG, Klafka &amp; Hinz Energie- und Informations-Systeme GmbH, make IT GmbH, Meine-Energie GmbH, msu solutions GmbH, numetris AG, </w:t>
      </w:r>
      <w:r w:rsidR="00B75F9E">
        <w:rPr>
          <w:rFonts w:ascii="Arial" w:hAnsi="Arial"/>
          <w:sz w:val="16"/>
          <w:szCs w:val="16"/>
        </w:rPr>
        <w:t>pixolus GmbH</w:t>
      </w:r>
      <w:r>
        <w:rPr>
          <w:rFonts w:ascii="Arial" w:hAnsi="Arial"/>
          <w:sz w:val="16"/>
          <w:szCs w:val="16"/>
        </w:rPr>
        <w:t xml:space="preserve">, phi-Consulting GmbH, Powercloud GmbH, </w:t>
      </w:r>
      <w:r w:rsidR="002A0E4C">
        <w:rPr>
          <w:rFonts w:ascii="Arial" w:hAnsi="Arial"/>
          <w:sz w:val="16"/>
          <w:szCs w:val="16"/>
        </w:rPr>
        <w:t xml:space="preserve">ProCom </w:t>
      </w:r>
      <w:r w:rsidR="00C34C60">
        <w:rPr>
          <w:rFonts w:ascii="Arial" w:hAnsi="Arial"/>
          <w:sz w:val="16"/>
          <w:szCs w:val="16"/>
        </w:rPr>
        <w:t xml:space="preserve">GmbH (kommissarisches Mitglied), </w:t>
      </w:r>
      <w:r>
        <w:rPr>
          <w:rFonts w:ascii="Arial" w:hAnsi="Arial"/>
          <w:sz w:val="16"/>
          <w:szCs w:val="16"/>
        </w:rPr>
        <w:t xml:space="preserve">PSI AG, QSC AG, regiocom GmbH, Robotron Datenbank-Software GmbH, </w:t>
      </w:r>
      <w:r w:rsidR="00B75F9E">
        <w:rPr>
          <w:rFonts w:ascii="Arial" w:hAnsi="Arial"/>
          <w:sz w:val="16"/>
          <w:szCs w:val="16"/>
        </w:rPr>
        <w:t xml:space="preserve">Sagemcom Fröschl GmbH, </w:t>
      </w:r>
      <w:r>
        <w:rPr>
          <w:rFonts w:ascii="Arial" w:hAnsi="Arial"/>
          <w:sz w:val="16"/>
          <w:szCs w:val="16"/>
        </w:rPr>
        <w:t>Schleupen AG, SEEBURGER AG, SIV.AG, Seven2one Informationssysteme GmbH, SOPTIM AG, Stadtwerke Schwäbisch Hall GmbH, Telefonica Deutschland, T-Systems International GmbH, Topcom Kommunikationssysteme GmbH, VisoTech Softwareentwicklungsges.m.b.H., Wilken G</w:t>
      </w:r>
      <w:bookmarkStart w:id="0" w:name="_GoBack"/>
      <w:bookmarkEnd w:id="0"/>
      <w:r>
        <w:rPr>
          <w:rFonts w:ascii="Arial" w:hAnsi="Arial"/>
          <w:sz w:val="16"/>
          <w:szCs w:val="16"/>
        </w:rPr>
        <w:t>mbH</w:t>
      </w:r>
    </w:p>
    <w:sectPr w:rsidR="002B7FE5" w:rsidRPr="003963D2" w:rsidSect="00F50967">
      <w:headerReference w:type="default" r:id="rId10"/>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48B2A2" w14:textId="77777777" w:rsidR="003C6E25" w:rsidRDefault="003C6E25">
      <w:pPr>
        <w:spacing w:after="0"/>
      </w:pPr>
      <w:r>
        <w:separator/>
      </w:r>
    </w:p>
  </w:endnote>
  <w:endnote w:type="continuationSeparator" w:id="0">
    <w:p w14:paraId="440743CD" w14:textId="77777777" w:rsidR="003C6E25" w:rsidRDefault="003C6E2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E9F487" w14:textId="77777777" w:rsidR="003C6E25" w:rsidRDefault="003C6E25">
      <w:pPr>
        <w:spacing w:after="0"/>
      </w:pPr>
      <w:r>
        <w:separator/>
      </w:r>
    </w:p>
  </w:footnote>
  <w:footnote w:type="continuationSeparator" w:id="0">
    <w:p w14:paraId="6621582E" w14:textId="77777777" w:rsidR="003C6E25" w:rsidRDefault="003C6E25">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709E"/>
    <w:rsid w:val="0001553E"/>
    <w:rsid w:val="000161EC"/>
    <w:rsid w:val="0002357A"/>
    <w:rsid w:val="00030FF6"/>
    <w:rsid w:val="00043484"/>
    <w:rsid w:val="00045750"/>
    <w:rsid w:val="00050921"/>
    <w:rsid w:val="0005303A"/>
    <w:rsid w:val="000564C3"/>
    <w:rsid w:val="00057C9B"/>
    <w:rsid w:val="00061E7B"/>
    <w:rsid w:val="00062008"/>
    <w:rsid w:val="00063361"/>
    <w:rsid w:val="00063499"/>
    <w:rsid w:val="000654C2"/>
    <w:rsid w:val="000701DD"/>
    <w:rsid w:val="00070426"/>
    <w:rsid w:val="00073360"/>
    <w:rsid w:val="00073BC7"/>
    <w:rsid w:val="00085A72"/>
    <w:rsid w:val="00090DD5"/>
    <w:rsid w:val="000946B5"/>
    <w:rsid w:val="000956BE"/>
    <w:rsid w:val="000A0A3F"/>
    <w:rsid w:val="000B2A21"/>
    <w:rsid w:val="000B42DF"/>
    <w:rsid w:val="000C093E"/>
    <w:rsid w:val="000C160F"/>
    <w:rsid w:val="000C24DC"/>
    <w:rsid w:val="000C29D4"/>
    <w:rsid w:val="000C3D63"/>
    <w:rsid w:val="000C401B"/>
    <w:rsid w:val="000C477A"/>
    <w:rsid w:val="000C6715"/>
    <w:rsid w:val="000D0D49"/>
    <w:rsid w:val="000E02A3"/>
    <w:rsid w:val="000E063E"/>
    <w:rsid w:val="000E500B"/>
    <w:rsid w:val="000E510A"/>
    <w:rsid w:val="000E7834"/>
    <w:rsid w:val="000F0685"/>
    <w:rsid w:val="000F1B86"/>
    <w:rsid w:val="000F7E7A"/>
    <w:rsid w:val="00107587"/>
    <w:rsid w:val="00113B8E"/>
    <w:rsid w:val="001150BC"/>
    <w:rsid w:val="00115E68"/>
    <w:rsid w:val="00120539"/>
    <w:rsid w:val="00120E92"/>
    <w:rsid w:val="00125AE5"/>
    <w:rsid w:val="00126CF3"/>
    <w:rsid w:val="00131284"/>
    <w:rsid w:val="00141179"/>
    <w:rsid w:val="00156AA0"/>
    <w:rsid w:val="001615EA"/>
    <w:rsid w:val="00181B86"/>
    <w:rsid w:val="00183A65"/>
    <w:rsid w:val="0019010E"/>
    <w:rsid w:val="0019691C"/>
    <w:rsid w:val="001A11CD"/>
    <w:rsid w:val="001A2945"/>
    <w:rsid w:val="001B4F38"/>
    <w:rsid w:val="001B5512"/>
    <w:rsid w:val="001B76E8"/>
    <w:rsid w:val="001C2A7C"/>
    <w:rsid w:val="001C668E"/>
    <w:rsid w:val="001F1D37"/>
    <w:rsid w:val="00211167"/>
    <w:rsid w:val="002136FD"/>
    <w:rsid w:val="0021790B"/>
    <w:rsid w:val="00225EF6"/>
    <w:rsid w:val="0022764D"/>
    <w:rsid w:val="002346B1"/>
    <w:rsid w:val="00240858"/>
    <w:rsid w:val="0024146B"/>
    <w:rsid w:val="00244EA5"/>
    <w:rsid w:val="00246881"/>
    <w:rsid w:val="0025223B"/>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0E4C"/>
    <w:rsid w:val="002A1096"/>
    <w:rsid w:val="002B0449"/>
    <w:rsid w:val="002B164B"/>
    <w:rsid w:val="002B37CB"/>
    <w:rsid w:val="002B63C1"/>
    <w:rsid w:val="002B7FE5"/>
    <w:rsid w:val="002C5EAC"/>
    <w:rsid w:val="002C74E4"/>
    <w:rsid w:val="002D35E1"/>
    <w:rsid w:val="002D3A3D"/>
    <w:rsid w:val="002D509C"/>
    <w:rsid w:val="002D617C"/>
    <w:rsid w:val="002D6C05"/>
    <w:rsid w:val="002E1811"/>
    <w:rsid w:val="002E4E75"/>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604AB"/>
    <w:rsid w:val="00360A69"/>
    <w:rsid w:val="00361176"/>
    <w:rsid w:val="0036188A"/>
    <w:rsid w:val="0036224A"/>
    <w:rsid w:val="00362F5F"/>
    <w:rsid w:val="00363DA7"/>
    <w:rsid w:val="00380BD3"/>
    <w:rsid w:val="00381E7B"/>
    <w:rsid w:val="0038751D"/>
    <w:rsid w:val="00387FD4"/>
    <w:rsid w:val="00390633"/>
    <w:rsid w:val="00393517"/>
    <w:rsid w:val="003963D2"/>
    <w:rsid w:val="003968CE"/>
    <w:rsid w:val="003A1A0B"/>
    <w:rsid w:val="003A5F5A"/>
    <w:rsid w:val="003A6520"/>
    <w:rsid w:val="003A6E37"/>
    <w:rsid w:val="003A7F9B"/>
    <w:rsid w:val="003B118D"/>
    <w:rsid w:val="003B3539"/>
    <w:rsid w:val="003B57B2"/>
    <w:rsid w:val="003B6945"/>
    <w:rsid w:val="003C067D"/>
    <w:rsid w:val="003C08E4"/>
    <w:rsid w:val="003C6E25"/>
    <w:rsid w:val="003D389C"/>
    <w:rsid w:val="003D3BCA"/>
    <w:rsid w:val="003D5AE0"/>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25F14"/>
    <w:rsid w:val="00431AC7"/>
    <w:rsid w:val="00434F6A"/>
    <w:rsid w:val="0043783A"/>
    <w:rsid w:val="00437BEC"/>
    <w:rsid w:val="004418B0"/>
    <w:rsid w:val="004421D0"/>
    <w:rsid w:val="00442390"/>
    <w:rsid w:val="00446B8B"/>
    <w:rsid w:val="00453B89"/>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17764"/>
    <w:rsid w:val="0052489A"/>
    <w:rsid w:val="0052598D"/>
    <w:rsid w:val="0052707F"/>
    <w:rsid w:val="005275FA"/>
    <w:rsid w:val="005305B2"/>
    <w:rsid w:val="00533698"/>
    <w:rsid w:val="00534563"/>
    <w:rsid w:val="00534D0B"/>
    <w:rsid w:val="00542CFA"/>
    <w:rsid w:val="005446CD"/>
    <w:rsid w:val="00546F61"/>
    <w:rsid w:val="005501C9"/>
    <w:rsid w:val="005510CA"/>
    <w:rsid w:val="00553FA0"/>
    <w:rsid w:val="005552AB"/>
    <w:rsid w:val="005553CC"/>
    <w:rsid w:val="00555A2B"/>
    <w:rsid w:val="00556C59"/>
    <w:rsid w:val="00561028"/>
    <w:rsid w:val="00566E71"/>
    <w:rsid w:val="00567762"/>
    <w:rsid w:val="00582004"/>
    <w:rsid w:val="005820BD"/>
    <w:rsid w:val="00582DD5"/>
    <w:rsid w:val="00583C22"/>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125D6"/>
    <w:rsid w:val="00616FA6"/>
    <w:rsid w:val="00623F51"/>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3171"/>
    <w:rsid w:val="006B6AA4"/>
    <w:rsid w:val="006D14EC"/>
    <w:rsid w:val="006D3EE1"/>
    <w:rsid w:val="006E5E3D"/>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5451"/>
    <w:rsid w:val="007F71B4"/>
    <w:rsid w:val="007F7C51"/>
    <w:rsid w:val="00802E17"/>
    <w:rsid w:val="00804E43"/>
    <w:rsid w:val="00807487"/>
    <w:rsid w:val="00807E3E"/>
    <w:rsid w:val="00813E76"/>
    <w:rsid w:val="008147AC"/>
    <w:rsid w:val="008167F7"/>
    <w:rsid w:val="00821740"/>
    <w:rsid w:val="00824920"/>
    <w:rsid w:val="00824EF0"/>
    <w:rsid w:val="008267CE"/>
    <w:rsid w:val="008272A4"/>
    <w:rsid w:val="00830672"/>
    <w:rsid w:val="00833822"/>
    <w:rsid w:val="00834E24"/>
    <w:rsid w:val="008354AE"/>
    <w:rsid w:val="008356FF"/>
    <w:rsid w:val="0084247F"/>
    <w:rsid w:val="00847863"/>
    <w:rsid w:val="00847B08"/>
    <w:rsid w:val="00852C4E"/>
    <w:rsid w:val="00853314"/>
    <w:rsid w:val="00860AD5"/>
    <w:rsid w:val="00863F49"/>
    <w:rsid w:val="008778D8"/>
    <w:rsid w:val="00885B87"/>
    <w:rsid w:val="00891A3D"/>
    <w:rsid w:val="008933CA"/>
    <w:rsid w:val="008A150E"/>
    <w:rsid w:val="008A6ABE"/>
    <w:rsid w:val="008B4B11"/>
    <w:rsid w:val="008B586C"/>
    <w:rsid w:val="008B7DE9"/>
    <w:rsid w:val="008C20F4"/>
    <w:rsid w:val="008C337F"/>
    <w:rsid w:val="008D1770"/>
    <w:rsid w:val="008D364E"/>
    <w:rsid w:val="008E057D"/>
    <w:rsid w:val="008E2AD1"/>
    <w:rsid w:val="008F158F"/>
    <w:rsid w:val="008F2228"/>
    <w:rsid w:val="008F4F11"/>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66E"/>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206E"/>
    <w:rsid w:val="00A04993"/>
    <w:rsid w:val="00A14397"/>
    <w:rsid w:val="00A1590A"/>
    <w:rsid w:val="00A17489"/>
    <w:rsid w:val="00A244C2"/>
    <w:rsid w:val="00A26C24"/>
    <w:rsid w:val="00A31B3B"/>
    <w:rsid w:val="00A34E8D"/>
    <w:rsid w:val="00A41C06"/>
    <w:rsid w:val="00A42C37"/>
    <w:rsid w:val="00A53823"/>
    <w:rsid w:val="00A560BE"/>
    <w:rsid w:val="00A632D4"/>
    <w:rsid w:val="00A72E95"/>
    <w:rsid w:val="00A757FD"/>
    <w:rsid w:val="00A81981"/>
    <w:rsid w:val="00A81CE6"/>
    <w:rsid w:val="00A820AD"/>
    <w:rsid w:val="00A85715"/>
    <w:rsid w:val="00A917CC"/>
    <w:rsid w:val="00AA07F3"/>
    <w:rsid w:val="00AA293E"/>
    <w:rsid w:val="00AA3A09"/>
    <w:rsid w:val="00AA5EC7"/>
    <w:rsid w:val="00AA60BE"/>
    <w:rsid w:val="00AA63F6"/>
    <w:rsid w:val="00AB4B6D"/>
    <w:rsid w:val="00AB7889"/>
    <w:rsid w:val="00AC464E"/>
    <w:rsid w:val="00AC78C6"/>
    <w:rsid w:val="00AD0B59"/>
    <w:rsid w:val="00AD211C"/>
    <w:rsid w:val="00AE0CC9"/>
    <w:rsid w:val="00AE1B55"/>
    <w:rsid w:val="00AE4113"/>
    <w:rsid w:val="00AF0CC4"/>
    <w:rsid w:val="00AF3E75"/>
    <w:rsid w:val="00AF5711"/>
    <w:rsid w:val="00AF76C7"/>
    <w:rsid w:val="00B0227C"/>
    <w:rsid w:val="00B075CB"/>
    <w:rsid w:val="00B1138C"/>
    <w:rsid w:val="00B14AA7"/>
    <w:rsid w:val="00B1724E"/>
    <w:rsid w:val="00B17BA2"/>
    <w:rsid w:val="00B339D7"/>
    <w:rsid w:val="00B340BF"/>
    <w:rsid w:val="00B3529F"/>
    <w:rsid w:val="00B41FF4"/>
    <w:rsid w:val="00B51EAC"/>
    <w:rsid w:val="00B54E58"/>
    <w:rsid w:val="00B57EE6"/>
    <w:rsid w:val="00B604A6"/>
    <w:rsid w:val="00B66CA4"/>
    <w:rsid w:val="00B70A82"/>
    <w:rsid w:val="00B72145"/>
    <w:rsid w:val="00B74179"/>
    <w:rsid w:val="00B75F9E"/>
    <w:rsid w:val="00B80AE3"/>
    <w:rsid w:val="00B852B8"/>
    <w:rsid w:val="00B92042"/>
    <w:rsid w:val="00B92D92"/>
    <w:rsid w:val="00B933AC"/>
    <w:rsid w:val="00B97A0A"/>
    <w:rsid w:val="00BA42BA"/>
    <w:rsid w:val="00BA78C7"/>
    <w:rsid w:val="00BB0B06"/>
    <w:rsid w:val="00BB0B92"/>
    <w:rsid w:val="00BC1F87"/>
    <w:rsid w:val="00BC3509"/>
    <w:rsid w:val="00BC6A46"/>
    <w:rsid w:val="00BD4A38"/>
    <w:rsid w:val="00BD7FAD"/>
    <w:rsid w:val="00BE10E8"/>
    <w:rsid w:val="00BE551D"/>
    <w:rsid w:val="00BF1F45"/>
    <w:rsid w:val="00BF6666"/>
    <w:rsid w:val="00BF6B7A"/>
    <w:rsid w:val="00C003DD"/>
    <w:rsid w:val="00C10CD0"/>
    <w:rsid w:val="00C1407A"/>
    <w:rsid w:val="00C23427"/>
    <w:rsid w:val="00C311C8"/>
    <w:rsid w:val="00C32C0D"/>
    <w:rsid w:val="00C34C60"/>
    <w:rsid w:val="00C42E10"/>
    <w:rsid w:val="00C470C5"/>
    <w:rsid w:val="00C53064"/>
    <w:rsid w:val="00C5669E"/>
    <w:rsid w:val="00C57564"/>
    <w:rsid w:val="00C60614"/>
    <w:rsid w:val="00C655E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2968"/>
    <w:rsid w:val="00D27A97"/>
    <w:rsid w:val="00D27F06"/>
    <w:rsid w:val="00D30D91"/>
    <w:rsid w:val="00D31157"/>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15C3"/>
    <w:rsid w:val="00D927C9"/>
    <w:rsid w:val="00D948DC"/>
    <w:rsid w:val="00D94AC1"/>
    <w:rsid w:val="00DA2E38"/>
    <w:rsid w:val="00DA3587"/>
    <w:rsid w:val="00DB1B83"/>
    <w:rsid w:val="00DB292A"/>
    <w:rsid w:val="00DB50CD"/>
    <w:rsid w:val="00DB51A1"/>
    <w:rsid w:val="00DC212E"/>
    <w:rsid w:val="00DC3AF9"/>
    <w:rsid w:val="00DC772D"/>
    <w:rsid w:val="00DD5A66"/>
    <w:rsid w:val="00E00C62"/>
    <w:rsid w:val="00E00EFE"/>
    <w:rsid w:val="00E00F4B"/>
    <w:rsid w:val="00E03CC0"/>
    <w:rsid w:val="00E076C5"/>
    <w:rsid w:val="00E07E62"/>
    <w:rsid w:val="00E11D0A"/>
    <w:rsid w:val="00E140F6"/>
    <w:rsid w:val="00E20587"/>
    <w:rsid w:val="00E2099A"/>
    <w:rsid w:val="00E24526"/>
    <w:rsid w:val="00E267A9"/>
    <w:rsid w:val="00E2783E"/>
    <w:rsid w:val="00E27E05"/>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A2198"/>
    <w:rsid w:val="00EA6669"/>
    <w:rsid w:val="00EA722A"/>
    <w:rsid w:val="00EB0623"/>
    <w:rsid w:val="00EB1AEB"/>
    <w:rsid w:val="00EC576D"/>
    <w:rsid w:val="00ED4273"/>
    <w:rsid w:val="00ED4694"/>
    <w:rsid w:val="00EE39A3"/>
    <w:rsid w:val="00EE76D9"/>
    <w:rsid w:val="00EE7A24"/>
    <w:rsid w:val="00EF10CC"/>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2A5C"/>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12A52"/>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28132148">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edna-bundesverband.de" TargetMode="External"/><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2A44F0D-328E-E240-9FD3-729395133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813</Words>
  <Characters>5128</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5930</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3</cp:revision>
  <cp:lastPrinted>2017-09-05T12:25:00Z</cp:lastPrinted>
  <dcterms:created xsi:type="dcterms:W3CDTF">2017-09-06T08:21:00Z</dcterms:created>
  <dcterms:modified xsi:type="dcterms:W3CDTF">2017-09-07T14:31:00Z</dcterms:modified>
</cp:coreProperties>
</file>