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df" ContentType="application/pdf"/>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png" ContentType="image/pn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7687" w:rsidRPr="00B319D7" w:rsidRDefault="00347687" w:rsidP="00347687">
      <w:pPr>
        <w:spacing w:line="288" w:lineRule="auto"/>
        <w:rPr>
          <w:rFonts w:ascii="Helvetica" w:hAnsi="Helvetica"/>
          <w:b/>
          <w:color w:val="808080" w:themeColor="background1" w:themeShade="80"/>
          <w:sz w:val="20"/>
          <w:lang w:val="de-CH"/>
        </w:rPr>
      </w:pPr>
      <w:r>
        <w:rPr>
          <w:rFonts w:ascii="Helvetica" w:hAnsi="Helvetica"/>
          <w:b/>
          <w:color w:val="808080" w:themeColor="background1" w:themeShade="80"/>
          <w:sz w:val="20"/>
        </w:rPr>
        <w:t>Medienmitteilung</w:t>
      </w:r>
    </w:p>
    <w:p w:rsidR="00347687" w:rsidRPr="005A507D" w:rsidRDefault="00347687" w:rsidP="00347687">
      <w:pPr>
        <w:spacing w:line="288" w:lineRule="auto"/>
        <w:ind w:right="-992"/>
        <w:rPr>
          <w:rFonts w:ascii="Helvetica" w:hAnsi="Helvetica"/>
          <w:sz w:val="20"/>
        </w:rPr>
      </w:pPr>
      <w:r>
        <w:rPr>
          <w:rFonts w:ascii="Helvetica" w:hAnsi="Helvetica"/>
          <w:sz w:val="20"/>
        </w:rPr>
        <w:t>Bern, 17. November 2016</w:t>
      </w:r>
    </w:p>
    <w:p w:rsidR="00347687" w:rsidRDefault="00347687" w:rsidP="00347687">
      <w:pPr>
        <w:spacing w:line="288" w:lineRule="auto"/>
        <w:ind w:right="-992"/>
        <w:rPr>
          <w:rFonts w:ascii="Helvetica" w:hAnsi="Helvetica" w:cs="Helvetica"/>
          <w:b/>
          <w:bCs/>
        </w:rPr>
      </w:pPr>
    </w:p>
    <w:p w:rsidR="00347687" w:rsidRPr="00CE3EFD" w:rsidRDefault="00347687" w:rsidP="00347687">
      <w:pPr>
        <w:spacing w:line="288" w:lineRule="auto"/>
        <w:ind w:right="-1702"/>
        <w:rPr>
          <w:rFonts w:ascii="Helvetica" w:hAnsi="Helvetica" w:cs="Helvetica"/>
          <w:b/>
          <w:bCs/>
          <w:lang w:val="de-CH"/>
        </w:rPr>
      </w:pPr>
      <w:r>
        <w:rPr>
          <w:rFonts w:ascii="Helvetica" w:hAnsi="Helvetica" w:cs="Helvetica"/>
          <w:b/>
          <w:bCs/>
          <w:lang w:val="de-CH"/>
        </w:rPr>
        <w:t xml:space="preserve">BI-Konzept für GLKB und Betrugserkennung für mobilezone </w:t>
      </w:r>
    </w:p>
    <w:p w:rsidR="00347687" w:rsidRDefault="00347687" w:rsidP="00347687">
      <w:pPr>
        <w:spacing w:line="288" w:lineRule="auto"/>
        <w:ind w:right="-568"/>
        <w:rPr>
          <w:rFonts w:ascii="Helvetica" w:hAnsi="Helvetica"/>
          <w:sz w:val="20"/>
        </w:rPr>
      </w:pPr>
      <w:r>
        <w:rPr>
          <w:rFonts w:ascii="Helvetica" w:hAnsi="Helvetica"/>
          <w:sz w:val="20"/>
        </w:rPr>
        <w:t xml:space="preserve">IT-Logix unterstützt Glarner Kantonalbank bei neuem BI-Projekt und mobilezone mit </w:t>
      </w:r>
      <w:r>
        <w:rPr>
          <w:rFonts w:ascii="Helvetica" w:hAnsi="Helvetica"/>
          <w:sz w:val="20"/>
        </w:rPr>
        <w:br/>
        <w:t>Data Science zur Identifikation potenzieller Betrüger</w:t>
      </w:r>
    </w:p>
    <w:p w:rsidR="00347687" w:rsidRDefault="00347687" w:rsidP="00347687">
      <w:pPr>
        <w:spacing w:line="288" w:lineRule="auto"/>
        <w:ind w:right="-142"/>
        <w:rPr>
          <w:rFonts w:ascii="Helvetica" w:hAnsi="Helvetica"/>
          <w:b/>
          <w:sz w:val="20"/>
        </w:rPr>
      </w:pPr>
    </w:p>
    <w:p w:rsidR="00347687" w:rsidRDefault="00347687" w:rsidP="00347687">
      <w:pPr>
        <w:spacing w:line="288" w:lineRule="auto"/>
        <w:ind w:right="-142"/>
        <w:rPr>
          <w:rFonts w:ascii="Helvetica" w:hAnsi="Helvetica"/>
          <w:b/>
          <w:sz w:val="20"/>
        </w:rPr>
      </w:pPr>
      <w:r>
        <w:rPr>
          <w:rFonts w:ascii="Helvetica" w:hAnsi="Helvetica"/>
          <w:b/>
          <w:sz w:val="20"/>
        </w:rPr>
        <w:t>Das auf Business Intelligence (BI), Data Warehousing (DWH) und Big Data spezialisierte IT-Beratungshaus IT-Logix hat bei zwei namhaften Schweizer Unternehmen Projekte in den Bereichen BI und Data Science umgesetzt. Zum einen unterstützte IT-Logix die Glarner Kantonalbank (GLKB) bei der Erarbeitung und Umsetzung ihrer neuen BI-Strategie. So konnte das Unternehmen mit konzeptioneller, strategischer und technologischer Beratung bei der Bank die Umsetzung des BI-Projekts beschleunigen und in zwei Proof of Concepts die Machbarkeit neuer Dienste nachweisen. Basierend auf der vollständig auf Microsoft-Technologien aufsetzenden Vorgehensweise will die Bank in Zukunft mit einer Rundumsicht auf den Kunden intern wie auch anderen Banken neue Services anbieten. Für den Mobilfunkspezialisten mobilezone hat IT-Logix mit Microsoft Azure Machine Learning einen Webservice entwickelt, der es ermöglicht, Kunden mit betrügerischen Absichten frühzeitig zu erkennen. Aufgrund des Einsatzes der neuen Technologie konnten bereits potenzielle Verluste abgewendet werden.</w:t>
      </w:r>
    </w:p>
    <w:p w:rsidR="00347687" w:rsidRDefault="00347687" w:rsidP="00347687">
      <w:pPr>
        <w:spacing w:line="288" w:lineRule="auto"/>
        <w:ind w:right="-142"/>
        <w:rPr>
          <w:rFonts w:ascii="Helvetica" w:hAnsi="Helvetica"/>
          <w:b/>
          <w:sz w:val="20"/>
        </w:rPr>
      </w:pPr>
    </w:p>
    <w:p w:rsidR="00347687" w:rsidRDefault="00347687" w:rsidP="00347687">
      <w:pPr>
        <w:spacing w:line="288" w:lineRule="auto"/>
        <w:ind w:right="-142"/>
        <w:rPr>
          <w:rFonts w:ascii="Helvetica" w:hAnsi="Helvetica"/>
          <w:b/>
          <w:sz w:val="20"/>
        </w:rPr>
      </w:pPr>
      <w:r w:rsidRPr="00951BD7">
        <w:rPr>
          <w:rFonts w:ascii="Helvetica" w:hAnsi="Helvetica"/>
          <w:b/>
          <w:sz w:val="20"/>
        </w:rPr>
        <w:t>Neue BI-Services dank Rundumsicht auf Kunden</w:t>
      </w:r>
      <w:r>
        <w:rPr>
          <w:rFonts w:ascii="Helvetica" w:hAnsi="Helvetica"/>
          <w:b/>
          <w:sz w:val="20"/>
        </w:rPr>
        <w:t xml:space="preserve"> der GLKB</w:t>
      </w:r>
    </w:p>
    <w:p w:rsidR="006E04E2" w:rsidRDefault="00347687" w:rsidP="00347687">
      <w:pPr>
        <w:spacing w:line="288" w:lineRule="auto"/>
        <w:ind w:right="-142"/>
        <w:rPr>
          <w:rFonts w:ascii="Helvetica" w:hAnsi="Helvetica"/>
          <w:b/>
          <w:sz w:val="20"/>
        </w:rPr>
      </w:pPr>
      <w:r w:rsidRPr="00951BD7">
        <w:rPr>
          <w:rFonts w:ascii="Helvetica" w:hAnsi="Helvetica"/>
          <w:sz w:val="20"/>
        </w:rPr>
        <w:t xml:space="preserve">Um die Digitalisierung </w:t>
      </w:r>
      <w:r>
        <w:rPr>
          <w:rFonts w:ascii="Helvetica" w:hAnsi="Helvetica"/>
          <w:sz w:val="20"/>
        </w:rPr>
        <w:t xml:space="preserve">bei der GLKB </w:t>
      </w:r>
      <w:r w:rsidRPr="00951BD7">
        <w:rPr>
          <w:rFonts w:ascii="Helvetica" w:hAnsi="Helvetica"/>
          <w:sz w:val="20"/>
        </w:rPr>
        <w:t>konsequent weiterzuführen und bankintern neue Services anbieten zu können, wurde gemeinsam mit IT-Logix ein B</w:t>
      </w:r>
      <w:r>
        <w:rPr>
          <w:rFonts w:ascii="Helvetica" w:hAnsi="Helvetica"/>
          <w:sz w:val="20"/>
        </w:rPr>
        <w:t>I</w:t>
      </w:r>
      <w:r w:rsidRPr="00951BD7">
        <w:rPr>
          <w:rFonts w:ascii="Helvetica" w:hAnsi="Helvetica"/>
          <w:sz w:val="20"/>
        </w:rPr>
        <w:t>-Konzept erarbeitet. Ziel war es, Rechnungswesen, Controlling und Informatik Center strategisch als Lieferanten von flexiblen Services mit hoher Qualität zu positionieren</w:t>
      </w:r>
      <w:r>
        <w:rPr>
          <w:rFonts w:ascii="Helvetica" w:hAnsi="Helvetica"/>
          <w:sz w:val="20"/>
        </w:rPr>
        <w:t>.</w:t>
      </w:r>
      <w:r w:rsidRPr="00951BD7">
        <w:rPr>
          <w:rFonts w:ascii="Helvetica" w:hAnsi="Helvetica"/>
          <w:sz w:val="20"/>
        </w:rPr>
        <w:t xml:space="preserve"> </w:t>
      </w:r>
      <w:r>
        <w:rPr>
          <w:rFonts w:ascii="Helvetica" w:hAnsi="Helvetica"/>
          <w:sz w:val="20"/>
        </w:rPr>
        <w:t xml:space="preserve">Dazu wird das </w:t>
      </w:r>
      <w:r w:rsidRPr="00951BD7">
        <w:rPr>
          <w:rFonts w:ascii="Helvetica" w:hAnsi="Helvetica"/>
          <w:sz w:val="20"/>
        </w:rPr>
        <w:t xml:space="preserve">relevante Datenmaterial </w:t>
      </w:r>
      <w:r>
        <w:rPr>
          <w:rFonts w:ascii="Helvetica" w:hAnsi="Helvetica"/>
          <w:sz w:val="20"/>
        </w:rPr>
        <w:t xml:space="preserve">für </w:t>
      </w:r>
      <w:r w:rsidRPr="00951BD7">
        <w:rPr>
          <w:rFonts w:ascii="Helvetica" w:hAnsi="Helvetica"/>
          <w:sz w:val="20"/>
        </w:rPr>
        <w:t>alle Anspruchsgruppen, angefangen vom Verwaltungsrat über die Geschäftsleitung bis hin zum Kundenberater, aufbereite</w:t>
      </w:r>
      <w:r>
        <w:rPr>
          <w:rFonts w:ascii="Helvetica" w:hAnsi="Helvetica"/>
          <w:sz w:val="20"/>
        </w:rPr>
        <w:t>t</w:t>
      </w:r>
      <w:r w:rsidRPr="00951BD7">
        <w:rPr>
          <w:rFonts w:ascii="Helvetica" w:hAnsi="Helvetica"/>
          <w:sz w:val="20"/>
        </w:rPr>
        <w:t xml:space="preserve"> und so das Bankgeschäft zeitnah </w:t>
      </w:r>
      <w:r>
        <w:rPr>
          <w:rFonts w:ascii="Helvetica" w:hAnsi="Helvetica"/>
          <w:sz w:val="20"/>
        </w:rPr>
        <w:t>sowie</w:t>
      </w:r>
      <w:r w:rsidRPr="00951BD7">
        <w:rPr>
          <w:rFonts w:ascii="Helvetica" w:hAnsi="Helvetica"/>
          <w:sz w:val="20"/>
        </w:rPr>
        <w:t xml:space="preserve"> flexibel unterstütz</w:t>
      </w:r>
      <w:r>
        <w:rPr>
          <w:rFonts w:ascii="Helvetica" w:hAnsi="Helvetica"/>
          <w:sz w:val="20"/>
        </w:rPr>
        <w:t>t</w:t>
      </w:r>
      <w:r w:rsidRPr="00951BD7">
        <w:rPr>
          <w:rFonts w:ascii="Helvetica" w:hAnsi="Helvetica"/>
          <w:sz w:val="20"/>
        </w:rPr>
        <w:t xml:space="preserve">. Mit </w:t>
      </w:r>
      <w:r>
        <w:rPr>
          <w:rFonts w:ascii="Helvetica" w:hAnsi="Helvetica"/>
          <w:sz w:val="20"/>
        </w:rPr>
        <w:t>dem Know-how und den Lösungen</w:t>
      </w:r>
      <w:r w:rsidRPr="00951BD7">
        <w:rPr>
          <w:rFonts w:ascii="Helvetica" w:hAnsi="Helvetica"/>
          <w:sz w:val="20"/>
        </w:rPr>
        <w:t xml:space="preserve"> von IT-Logix auf dem Auswertungs-Layer erfolgte die Umsetzung eines zielgerichteten BI-Konzepts. Dieses ermöglicht eine 360-Grad-Sicht auf den Kunden und die bestmögliche </w:t>
      </w:r>
      <w:r>
        <w:rPr>
          <w:rFonts w:ascii="Helvetica" w:hAnsi="Helvetica"/>
          <w:sz w:val="20"/>
        </w:rPr>
        <w:t>sowie</w:t>
      </w:r>
      <w:r w:rsidRPr="00951BD7">
        <w:rPr>
          <w:rFonts w:ascii="Helvetica" w:hAnsi="Helvetica"/>
          <w:sz w:val="20"/>
        </w:rPr>
        <w:t xml:space="preserve"> effizienteste Verwendung aller Daten für </w:t>
      </w:r>
      <w:r>
        <w:rPr>
          <w:rFonts w:ascii="Helvetica" w:hAnsi="Helvetica"/>
          <w:sz w:val="20"/>
        </w:rPr>
        <w:t xml:space="preserve">neue </w:t>
      </w:r>
      <w:r w:rsidRPr="00951BD7">
        <w:rPr>
          <w:rFonts w:ascii="Helvetica" w:hAnsi="Helvetica"/>
          <w:sz w:val="20"/>
        </w:rPr>
        <w:t>Auswertungsmöglichkeiten</w:t>
      </w:r>
      <w:r>
        <w:rPr>
          <w:rFonts w:ascii="Helvetica" w:hAnsi="Helvetica"/>
          <w:sz w:val="20"/>
        </w:rPr>
        <w:t xml:space="preserve"> und </w:t>
      </w:r>
      <w:r w:rsidRPr="00951BD7">
        <w:rPr>
          <w:rFonts w:ascii="Helvetica" w:hAnsi="Helvetica"/>
          <w:sz w:val="20"/>
        </w:rPr>
        <w:t>zentra</w:t>
      </w:r>
      <w:r>
        <w:rPr>
          <w:rFonts w:ascii="Helvetica" w:hAnsi="Helvetica"/>
          <w:sz w:val="20"/>
        </w:rPr>
        <w:t xml:space="preserve">l aufbereitete Reports </w:t>
      </w:r>
      <w:r w:rsidRPr="00951BD7">
        <w:rPr>
          <w:rFonts w:ascii="Helvetica" w:hAnsi="Helvetica"/>
          <w:sz w:val="20"/>
        </w:rPr>
        <w:t xml:space="preserve">auf </w:t>
      </w:r>
      <w:r>
        <w:rPr>
          <w:rFonts w:ascii="Helvetica" w:hAnsi="Helvetica"/>
          <w:sz w:val="20"/>
        </w:rPr>
        <w:t>sämtlichen</w:t>
      </w:r>
      <w:r w:rsidRPr="00951BD7">
        <w:rPr>
          <w:rFonts w:ascii="Helvetica" w:hAnsi="Helvetica"/>
          <w:sz w:val="20"/>
        </w:rPr>
        <w:t xml:space="preserve"> Bankenebenen. Der Entscheid, mit einem stabilen architektonischen Fundament und selbst entwickelten Ladeprozessen die Basis für effiziente Services zu legen, bestätigt sich auch mit zwei Proof of Concepts, bei denen IT-Logix für die GLKB die Business-Logik auf das neue System übertragen hat.</w:t>
      </w:r>
      <w:r>
        <w:rPr>
          <w:rFonts w:ascii="Helvetica" w:hAnsi="Helvetica"/>
          <w:sz w:val="20"/>
        </w:rPr>
        <w:t xml:space="preserve"> Die daraus entstandenen Services sollen künftig intern wie auch anderen Banken angeboten werden. Ralf Luchsinger, IT-Leiter der GLKB, sagt: </w:t>
      </w:r>
      <w:r w:rsidRPr="00BC4463">
        <w:rPr>
          <w:rFonts w:ascii="Helvetica" w:hAnsi="Helvetica"/>
          <w:sz w:val="20"/>
        </w:rPr>
        <w:t>„IT-Logix hat sich als innovativer, produktiver und zielstrebiger Sparring-Partner für die Erarbeitung und Umsetzung unseres BI-Konzeptes erwiesen. Dank der part</w:t>
      </w:r>
      <w:r>
        <w:rPr>
          <w:rFonts w:ascii="Helvetica" w:hAnsi="Helvetica"/>
          <w:sz w:val="20"/>
        </w:rPr>
        <w:t>nerschaftlichen Zusammenarbeit</w:t>
      </w:r>
      <w:r w:rsidRPr="00BC4463">
        <w:rPr>
          <w:rFonts w:ascii="Helvetica" w:hAnsi="Helvetica"/>
          <w:sz w:val="20"/>
        </w:rPr>
        <w:t xml:space="preserve"> konnten wir das Vorhaben effizient und zeitnah realisieren.“</w:t>
      </w:r>
    </w:p>
    <w:p w:rsidR="00347687" w:rsidRPr="006E04E2" w:rsidRDefault="00347687" w:rsidP="00347687">
      <w:pPr>
        <w:spacing w:line="288" w:lineRule="auto"/>
        <w:ind w:right="-142"/>
        <w:rPr>
          <w:rFonts w:ascii="Helvetica" w:hAnsi="Helvetica"/>
          <w:b/>
          <w:sz w:val="20"/>
        </w:rPr>
      </w:pPr>
    </w:p>
    <w:p w:rsidR="00347687" w:rsidRDefault="00347687" w:rsidP="00347687">
      <w:pPr>
        <w:spacing w:line="288" w:lineRule="auto"/>
        <w:ind w:right="-142"/>
        <w:rPr>
          <w:rFonts w:ascii="Helvetica" w:hAnsi="Helvetica"/>
          <w:b/>
          <w:sz w:val="20"/>
        </w:rPr>
      </w:pPr>
      <w:r w:rsidRPr="00BC4463">
        <w:rPr>
          <w:rFonts w:ascii="Helvetica" w:hAnsi="Helvetica"/>
          <w:b/>
          <w:sz w:val="20"/>
        </w:rPr>
        <w:t>Hohe Verluste abwenden mit Betrugserkennung bei mobilezone</w:t>
      </w:r>
    </w:p>
    <w:p w:rsidR="00347687" w:rsidRPr="00BC4463" w:rsidRDefault="00347687" w:rsidP="00347687">
      <w:pPr>
        <w:spacing w:line="288" w:lineRule="auto"/>
        <w:ind w:right="-142"/>
        <w:rPr>
          <w:rFonts w:ascii="Helvetica" w:hAnsi="Helvetica"/>
          <w:b/>
          <w:sz w:val="20"/>
        </w:rPr>
      </w:pPr>
      <w:r w:rsidRPr="00BC4463">
        <w:rPr>
          <w:rFonts w:ascii="Helvetica" w:hAnsi="Helvetica"/>
          <w:sz w:val="20"/>
        </w:rPr>
        <w:t xml:space="preserve">Der Mobilfunk-Spezialist mobilezone hatte regelmässig finanzielle Schäden infolge betrügerischen Verhaltens von Mobilfunkvertragsnehmern zu verzeichnen: Personen </w:t>
      </w:r>
      <w:r>
        <w:rPr>
          <w:rFonts w:ascii="Helvetica" w:hAnsi="Helvetica"/>
          <w:sz w:val="20"/>
        </w:rPr>
        <w:t xml:space="preserve">mit krimineller Absicht </w:t>
      </w:r>
      <w:r w:rsidRPr="00BC4463">
        <w:rPr>
          <w:rFonts w:ascii="Helvetica" w:hAnsi="Helvetica"/>
          <w:sz w:val="20"/>
        </w:rPr>
        <w:t>konnten durch veränderte Namensangaben die Bonitätschecks der Telekommunikationsanbieter austricksen und so in unterschiedlichen mobilezone-Shops mehrere Handy-Verträge abschliessen</w:t>
      </w:r>
      <w:r w:rsidR="0022565B">
        <w:rPr>
          <w:rFonts w:ascii="Helvetica" w:hAnsi="Helvetica"/>
          <w:sz w:val="20"/>
        </w:rPr>
        <w:t xml:space="preserve"> und ungerechtfertigt in den Besitz teurer Gratisgeräte kommen</w:t>
      </w:r>
      <w:r w:rsidRPr="00BC4463">
        <w:rPr>
          <w:rFonts w:ascii="Helvetica" w:hAnsi="Helvetica"/>
          <w:sz w:val="20"/>
        </w:rPr>
        <w:t>. IT-Logix hat bei mobilezone eine vollautomatisierte Lösung eingeführt, die es ermöglicht, Gruppen betrügerisch erschlichener Verträge aufzudecken und so substanzielle monetäre Schäden zu verhindern.</w:t>
      </w:r>
      <w:r>
        <w:rPr>
          <w:rFonts w:ascii="Helvetica" w:hAnsi="Helvetica"/>
          <w:sz w:val="20"/>
        </w:rPr>
        <w:t xml:space="preserve"> </w:t>
      </w:r>
      <w:r w:rsidRPr="00BC4463">
        <w:rPr>
          <w:rFonts w:ascii="Helvetica" w:hAnsi="Helvetica"/>
          <w:sz w:val="20"/>
        </w:rPr>
        <w:t xml:space="preserve">Dieser Workflow erfolgt heute zweimal täglich, wobei nur die seit dem letzten „Run“ neu hinzugekommenen Verträge in die Cloud-Datenbank übertragen und mit denen in </w:t>
      </w:r>
      <w:r>
        <w:rPr>
          <w:rFonts w:ascii="Helvetica" w:hAnsi="Helvetica"/>
          <w:sz w:val="20"/>
        </w:rPr>
        <w:t xml:space="preserve">Microsoft </w:t>
      </w:r>
      <w:r w:rsidRPr="00BC4463">
        <w:rPr>
          <w:rFonts w:ascii="Helvetica" w:hAnsi="Helvetica"/>
          <w:sz w:val="20"/>
        </w:rPr>
        <w:t xml:space="preserve">Azure Machine Learning abgeglichen werden. </w:t>
      </w:r>
      <w:r>
        <w:rPr>
          <w:rFonts w:ascii="Helvetica" w:hAnsi="Helvetica"/>
          <w:sz w:val="20"/>
        </w:rPr>
        <w:t>So</w:t>
      </w:r>
      <w:r w:rsidRPr="00BC4463">
        <w:rPr>
          <w:rFonts w:ascii="Helvetica" w:hAnsi="Helvetica"/>
          <w:sz w:val="20"/>
        </w:rPr>
        <w:t xml:space="preserve"> konnten </w:t>
      </w:r>
      <w:r>
        <w:rPr>
          <w:rFonts w:ascii="Helvetica" w:hAnsi="Helvetica"/>
          <w:sz w:val="20"/>
        </w:rPr>
        <w:t>seit der Inbetriebnahme der neuen Betrugserkennungslösung Anfang 2016</w:t>
      </w:r>
      <w:bookmarkStart w:id="0" w:name="_GoBack"/>
      <w:bookmarkEnd w:id="0"/>
      <w:r>
        <w:rPr>
          <w:rFonts w:ascii="Helvetica" w:hAnsi="Helvetica"/>
          <w:sz w:val="20"/>
        </w:rPr>
        <w:t xml:space="preserve"> </w:t>
      </w:r>
      <w:r w:rsidRPr="00BC4463">
        <w:rPr>
          <w:rFonts w:ascii="Helvetica" w:hAnsi="Helvetica"/>
          <w:sz w:val="20"/>
        </w:rPr>
        <w:t xml:space="preserve">potenzielle </w:t>
      </w:r>
      <w:r>
        <w:rPr>
          <w:rFonts w:ascii="Helvetica" w:hAnsi="Helvetica"/>
          <w:sz w:val="20"/>
        </w:rPr>
        <w:t>Betrüger</w:t>
      </w:r>
      <w:r w:rsidRPr="00BC4463">
        <w:rPr>
          <w:rFonts w:ascii="Helvetica" w:hAnsi="Helvetica"/>
          <w:sz w:val="20"/>
        </w:rPr>
        <w:t xml:space="preserve"> identifiziert werden, welche die Vorgaben der Telekomanbieter missachteten. „Mit der neuen Analysetechnik haben wir bereits potenziell hohe Verluste abgewendet</w:t>
      </w:r>
      <w:r>
        <w:rPr>
          <w:rFonts w:ascii="Helvetica" w:hAnsi="Helvetica"/>
          <w:sz w:val="20"/>
        </w:rPr>
        <w:t xml:space="preserve"> und es sind </w:t>
      </w:r>
      <w:r w:rsidRPr="00BC4463">
        <w:rPr>
          <w:rFonts w:ascii="Helvetica" w:hAnsi="Helvetica"/>
          <w:sz w:val="20"/>
        </w:rPr>
        <w:t xml:space="preserve">keine grösseren Schäden </w:t>
      </w:r>
      <w:r>
        <w:rPr>
          <w:rFonts w:ascii="Helvetica" w:hAnsi="Helvetica"/>
          <w:sz w:val="20"/>
        </w:rPr>
        <w:t>mehr aufgetreten“</w:t>
      </w:r>
      <w:r w:rsidRPr="00BC4463">
        <w:rPr>
          <w:rFonts w:ascii="Helvetica" w:hAnsi="Helvetica"/>
          <w:sz w:val="20"/>
        </w:rPr>
        <w:t>, sagt Philipp Müller, Leiter Controlling bei mobilezone</w:t>
      </w:r>
      <w:r>
        <w:rPr>
          <w:rFonts w:ascii="Helvetica" w:hAnsi="Helvetica"/>
          <w:sz w:val="20"/>
        </w:rPr>
        <w:t>.</w:t>
      </w:r>
      <w:r w:rsidRPr="00BC4463">
        <w:rPr>
          <w:rFonts w:ascii="Helvetica" w:hAnsi="Helvetica"/>
          <w:sz w:val="20"/>
        </w:rPr>
        <w:t xml:space="preserve"> </w:t>
      </w:r>
    </w:p>
    <w:p w:rsidR="00347687" w:rsidRPr="002A593C" w:rsidRDefault="00347687" w:rsidP="00347687">
      <w:pPr>
        <w:spacing w:line="288" w:lineRule="auto"/>
        <w:ind w:right="-142"/>
        <w:rPr>
          <w:rFonts w:ascii="Helvetica" w:hAnsi="Helvetica"/>
          <w:sz w:val="20"/>
          <w:lang w:val="en-US"/>
        </w:rPr>
      </w:pPr>
    </w:p>
    <w:tbl>
      <w:tblPr>
        <w:tblW w:w="8575" w:type="dxa"/>
        <w:tblLayout w:type="fixed"/>
        <w:tblCellMar>
          <w:left w:w="70" w:type="dxa"/>
          <w:right w:w="70" w:type="dxa"/>
        </w:tblCellMar>
        <w:tblLook w:val="0000"/>
      </w:tblPr>
      <w:tblGrid>
        <w:gridCol w:w="4606"/>
        <w:gridCol w:w="3969"/>
      </w:tblGrid>
      <w:tr w:rsidR="00347687" w:rsidRPr="008B2D7C">
        <w:trPr>
          <w:trHeight w:val="73"/>
        </w:trPr>
        <w:tc>
          <w:tcPr>
            <w:tcW w:w="4606" w:type="dxa"/>
          </w:tcPr>
          <w:p w:rsidR="00347687" w:rsidRPr="00FE3471" w:rsidRDefault="00347687" w:rsidP="00EB7C21">
            <w:pPr>
              <w:widowControl w:val="0"/>
              <w:adjustRightInd w:val="0"/>
              <w:spacing w:line="288" w:lineRule="auto"/>
              <w:rPr>
                <w:rFonts w:ascii="Helvetica" w:eastAsia="Times New Roman" w:hAnsi="Helvetica"/>
                <w:b/>
                <w:sz w:val="16"/>
              </w:rPr>
            </w:pPr>
            <w:r w:rsidRPr="002A593C">
              <w:rPr>
                <w:rFonts w:ascii="Helvetica" w:eastAsia="Times New Roman" w:hAnsi="Helvetica"/>
                <w:sz w:val="16"/>
                <w:lang w:val="de-CH"/>
              </w:rPr>
              <w:br w:type="page"/>
            </w:r>
            <w:r w:rsidRPr="00FE3471">
              <w:rPr>
                <w:rFonts w:ascii="Helvetica" w:eastAsia="Times New Roman" w:hAnsi="Helvetica"/>
                <w:b/>
                <w:sz w:val="16"/>
              </w:rPr>
              <w:t>Weitere Informationen:</w:t>
            </w:r>
          </w:p>
          <w:p w:rsidR="00347687" w:rsidRDefault="00347687" w:rsidP="00EB7C21">
            <w:pPr>
              <w:widowControl w:val="0"/>
              <w:adjustRightInd w:val="0"/>
              <w:spacing w:line="288" w:lineRule="auto"/>
              <w:rPr>
                <w:rFonts w:ascii="Helvetica" w:eastAsia="Times New Roman" w:hAnsi="Helvetica"/>
                <w:sz w:val="16"/>
              </w:rPr>
            </w:pPr>
            <w:r>
              <w:rPr>
                <w:rFonts w:ascii="Helvetica" w:eastAsia="Times New Roman" w:hAnsi="Helvetica"/>
                <w:sz w:val="16"/>
              </w:rPr>
              <w:t>IT-Logix AG – Samuel Rentsch</w:t>
            </w:r>
          </w:p>
          <w:p w:rsidR="00347687" w:rsidRDefault="00347687" w:rsidP="00EB7C21">
            <w:pPr>
              <w:widowControl w:val="0"/>
              <w:adjustRightInd w:val="0"/>
              <w:spacing w:line="288" w:lineRule="auto"/>
              <w:rPr>
                <w:rFonts w:ascii="Helvetica" w:eastAsia="Times New Roman" w:hAnsi="Helvetica"/>
                <w:sz w:val="16"/>
              </w:rPr>
            </w:pPr>
            <w:r>
              <w:rPr>
                <w:rFonts w:ascii="Helvetica" w:eastAsia="Times New Roman" w:hAnsi="Helvetica"/>
                <w:sz w:val="16"/>
              </w:rPr>
              <w:t>Schwarzenburgstrasse 11 – 3007 Bern</w:t>
            </w:r>
          </w:p>
          <w:p w:rsidR="00347687" w:rsidRDefault="00347687" w:rsidP="00EB7C21">
            <w:pPr>
              <w:widowControl w:val="0"/>
              <w:adjustRightInd w:val="0"/>
              <w:spacing w:line="288" w:lineRule="auto"/>
              <w:rPr>
                <w:rFonts w:ascii="Helvetica" w:eastAsia="Times New Roman" w:hAnsi="Helvetica"/>
                <w:sz w:val="16"/>
              </w:rPr>
            </w:pPr>
            <w:r>
              <w:rPr>
                <w:rFonts w:ascii="Helvetica" w:eastAsia="Times New Roman" w:hAnsi="Helvetica"/>
                <w:sz w:val="16"/>
              </w:rPr>
              <w:t>Tel.: +41 848 848 058</w:t>
            </w:r>
          </w:p>
          <w:p w:rsidR="00347687" w:rsidRPr="00ED28D0" w:rsidRDefault="00C25061" w:rsidP="00EB7C21">
            <w:pPr>
              <w:widowControl w:val="0"/>
              <w:adjustRightInd w:val="0"/>
              <w:spacing w:line="288" w:lineRule="auto"/>
              <w:rPr>
                <w:rFonts w:ascii="Helvetica" w:eastAsia="Times New Roman" w:hAnsi="Helvetica"/>
                <w:sz w:val="16"/>
              </w:rPr>
            </w:pPr>
            <w:hyperlink r:id="rId4" w:history="1">
              <w:r w:rsidR="00347687" w:rsidRPr="00B111C4">
                <w:rPr>
                  <w:rFonts w:ascii="Helvetica" w:eastAsia="Times New Roman" w:hAnsi="Helvetica"/>
                  <w:sz w:val="16"/>
                </w:rPr>
                <w:t>contact@it-logix.ch</w:t>
              </w:r>
            </w:hyperlink>
            <w:r w:rsidR="00347687">
              <w:rPr>
                <w:rFonts w:ascii="Helvetica" w:eastAsia="Times New Roman" w:hAnsi="Helvetica"/>
                <w:sz w:val="16"/>
              </w:rPr>
              <w:t xml:space="preserve"> – </w:t>
            </w:r>
            <w:hyperlink r:id="rId5" w:history="1">
              <w:r w:rsidR="00347687" w:rsidRPr="00E0339D">
                <w:rPr>
                  <w:rFonts w:ascii="Helvetica" w:eastAsia="Times New Roman" w:hAnsi="Helvetica"/>
                  <w:sz w:val="16"/>
                </w:rPr>
                <w:t>www.it-logix.ch</w:t>
              </w:r>
            </w:hyperlink>
            <w:r w:rsidR="00347687">
              <w:rPr>
                <w:rFonts w:ascii="Helvetica" w:eastAsia="Times New Roman" w:hAnsi="Helvetica"/>
                <w:sz w:val="16"/>
              </w:rPr>
              <w:t xml:space="preserve"> </w:t>
            </w:r>
          </w:p>
        </w:tc>
        <w:tc>
          <w:tcPr>
            <w:tcW w:w="3969" w:type="dxa"/>
          </w:tcPr>
          <w:p w:rsidR="00347687" w:rsidRPr="00E278EF" w:rsidRDefault="00347687" w:rsidP="00EB7C21">
            <w:pPr>
              <w:widowControl w:val="0"/>
              <w:adjustRightInd w:val="0"/>
              <w:spacing w:line="288" w:lineRule="auto"/>
              <w:rPr>
                <w:rFonts w:ascii="Helvetica" w:eastAsia="Times New Roman" w:hAnsi="Helvetica"/>
                <w:b/>
                <w:sz w:val="16"/>
              </w:rPr>
            </w:pPr>
            <w:r>
              <w:rPr>
                <w:rFonts w:ascii="Helvetica" w:eastAsia="Times New Roman" w:hAnsi="Helvetica"/>
                <w:b/>
                <w:sz w:val="16"/>
              </w:rPr>
              <w:t>Medien</w:t>
            </w:r>
            <w:r w:rsidRPr="00E278EF">
              <w:rPr>
                <w:rFonts w:ascii="Helvetica" w:eastAsia="Times New Roman" w:hAnsi="Helvetica"/>
                <w:b/>
                <w:sz w:val="16"/>
              </w:rPr>
              <w:t>- und Öffentlichkeitsarbeit:</w:t>
            </w:r>
          </w:p>
          <w:p w:rsidR="00347687" w:rsidRPr="008253EF" w:rsidRDefault="00347687" w:rsidP="00EB7C21">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347687" w:rsidRPr="008253EF" w:rsidRDefault="00347687" w:rsidP="00EB7C21">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347687" w:rsidRPr="008253EF" w:rsidRDefault="00347687" w:rsidP="00EB7C21">
            <w:pPr>
              <w:widowControl w:val="0"/>
              <w:adjustRightInd w:val="0"/>
              <w:spacing w:line="288" w:lineRule="auto"/>
              <w:rPr>
                <w:rFonts w:ascii="Helvetica" w:eastAsia="Times New Roman" w:hAnsi="Helvetica"/>
                <w:sz w:val="16"/>
              </w:rPr>
            </w:pPr>
            <w:r w:rsidRPr="008253EF">
              <w:rPr>
                <w:rFonts w:ascii="Helvetica" w:eastAsia="Times New Roman" w:hAnsi="Helvetica"/>
                <w:sz w:val="16"/>
              </w:rPr>
              <w:t xml:space="preserve">Tel. : +41 43 344 58 65 </w:t>
            </w:r>
            <w:r>
              <w:rPr>
                <w:rFonts w:ascii="Helvetica" w:eastAsia="Times New Roman" w:hAnsi="Helvetica"/>
                <w:sz w:val="16"/>
              </w:rPr>
              <w:t>– Mobil +41 78 660 66 57</w:t>
            </w:r>
          </w:p>
          <w:p w:rsidR="00347687" w:rsidRPr="008B2D7C" w:rsidRDefault="00C25061" w:rsidP="00EB7C21">
            <w:pPr>
              <w:widowControl w:val="0"/>
              <w:adjustRightInd w:val="0"/>
              <w:spacing w:line="288" w:lineRule="auto"/>
              <w:rPr>
                <w:rFonts w:ascii="Helvetica" w:eastAsia="Times New Roman" w:hAnsi="Helvetica"/>
                <w:sz w:val="16"/>
              </w:rPr>
            </w:pPr>
            <w:hyperlink r:id="rId6" w:history="1">
              <w:r w:rsidR="00347687" w:rsidRPr="00C4323A">
                <w:rPr>
                  <w:rFonts w:ascii="Helvetica" w:eastAsia="Times New Roman" w:hAnsi="Helvetica"/>
                  <w:sz w:val="16"/>
                </w:rPr>
                <w:t>mh@press-n-relations.ch</w:t>
              </w:r>
            </w:hyperlink>
            <w:r w:rsidR="00347687">
              <w:rPr>
                <w:rFonts w:ascii="Helvetica" w:eastAsia="Times New Roman" w:hAnsi="Helvetica"/>
                <w:sz w:val="16"/>
              </w:rPr>
              <w:t xml:space="preserve"> </w:t>
            </w:r>
            <w:r w:rsidR="00347687" w:rsidRPr="008253EF">
              <w:rPr>
                <w:rFonts w:ascii="Helvetica" w:eastAsia="Times New Roman" w:hAnsi="Helvetica"/>
                <w:sz w:val="16"/>
              </w:rPr>
              <w:t xml:space="preserve">– </w:t>
            </w:r>
            <w:hyperlink r:id="rId7" w:history="1">
              <w:r w:rsidR="00347687" w:rsidRPr="00E0339D">
                <w:rPr>
                  <w:rFonts w:ascii="Helvetica" w:eastAsia="Times New Roman" w:hAnsi="Helvetica"/>
                  <w:sz w:val="16"/>
                </w:rPr>
                <w:t>www.press-n-relations.ch</w:t>
              </w:r>
            </w:hyperlink>
            <w:r w:rsidR="00347687">
              <w:rPr>
                <w:rFonts w:ascii="Helvetica" w:eastAsia="Times New Roman" w:hAnsi="Helvetica"/>
                <w:sz w:val="16"/>
              </w:rPr>
              <w:t xml:space="preserve"> </w:t>
            </w:r>
          </w:p>
        </w:tc>
      </w:tr>
    </w:tbl>
    <w:p w:rsidR="00347687" w:rsidRDefault="00347687" w:rsidP="00347687">
      <w:pPr>
        <w:spacing w:line="100" w:lineRule="atLeast"/>
        <w:rPr>
          <w:rFonts w:ascii="Helvetica" w:eastAsia="Times New Roman" w:hAnsi="Helvetica"/>
          <w:b/>
          <w:sz w:val="18"/>
        </w:rPr>
      </w:pPr>
    </w:p>
    <w:p w:rsidR="00347687" w:rsidRDefault="00347687" w:rsidP="00347687">
      <w:pPr>
        <w:spacing w:line="100" w:lineRule="atLeast"/>
        <w:rPr>
          <w:rFonts w:ascii="Helvetica" w:eastAsia="Times New Roman" w:hAnsi="Helvetica"/>
          <w:b/>
          <w:sz w:val="18"/>
        </w:rPr>
      </w:pPr>
      <w:r>
        <w:rPr>
          <w:rFonts w:ascii="Helvetica" w:eastAsia="Times New Roman" w:hAnsi="Helvetica"/>
          <w:b/>
          <w:sz w:val="18"/>
        </w:rPr>
        <w:t>Über IT-Logix</w:t>
      </w:r>
    </w:p>
    <w:p w:rsidR="00347687" w:rsidRPr="00952296" w:rsidRDefault="00347687" w:rsidP="00347687">
      <w:pPr>
        <w:spacing w:line="100" w:lineRule="atLeast"/>
        <w:rPr>
          <w:rFonts w:ascii="Helvetica" w:eastAsia="Times New Roman" w:hAnsi="Helvetica"/>
          <w:sz w:val="18"/>
        </w:rPr>
      </w:pPr>
      <w:r>
        <w:rPr>
          <w:rFonts w:ascii="Helvetica" w:eastAsia="Times New Roman" w:hAnsi="Helvetica"/>
          <w:sz w:val="18"/>
        </w:rPr>
        <w:t xml:space="preserve">Die </w:t>
      </w:r>
      <w:r w:rsidRPr="00FE702C">
        <w:rPr>
          <w:rFonts w:ascii="Helvetica" w:eastAsia="Times New Roman" w:hAnsi="Helvetica"/>
          <w:sz w:val="18"/>
        </w:rPr>
        <w:t>IT-Logix</w:t>
      </w:r>
      <w:r>
        <w:rPr>
          <w:rFonts w:ascii="Helvetica" w:eastAsia="Times New Roman" w:hAnsi="Helvetica"/>
          <w:sz w:val="18"/>
        </w:rPr>
        <w:t xml:space="preserve"> AG mit Standorten in Bern und Zürich</w:t>
      </w:r>
      <w:r w:rsidRPr="00FE702C">
        <w:rPr>
          <w:rFonts w:ascii="Helvetica" w:eastAsia="Times New Roman" w:hAnsi="Helvetica"/>
          <w:sz w:val="18"/>
        </w:rPr>
        <w:t xml:space="preserve"> ist eines der führenden Schweizer IT-Beratungshäuser in den Bereichen Business Intelligence</w:t>
      </w:r>
      <w:r>
        <w:rPr>
          <w:rFonts w:ascii="Helvetica" w:eastAsia="Times New Roman" w:hAnsi="Helvetica"/>
          <w:sz w:val="18"/>
        </w:rPr>
        <w:t xml:space="preserve">, </w:t>
      </w:r>
      <w:r w:rsidRPr="00FE702C">
        <w:rPr>
          <w:rFonts w:ascii="Helvetica" w:eastAsia="Times New Roman" w:hAnsi="Helvetica"/>
          <w:sz w:val="18"/>
        </w:rPr>
        <w:t>Data Warehousing</w:t>
      </w:r>
      <w:r>
        <w:rPr>
          <w:rFonts w:ascii="Helvetica" w:eastAsia="Times New Roman" w:hAnsi="Helvetica"/>
          <w:sz w:val="18"/>
        </w:rPr>
        <w:t xml:space="preserve"> und Big Data. Das Unternehmen</w:t>
      </w:r>
      <w:r w:rsidRPr="00FE702C">
        <w:rPr>
          <w:rFonts w:ascii="Helvetica" w:eastAsia="Times New Roman" w:hAnsi="Helvetica"/>
          <w:sz w:val="18"/>
        </w:rPr>
        <w:t xml:space="preserve"> </w:t>
      </w:r>
      <w:r>
        <w:rPr>
          <w:rFonts w:ascii="Helvetica" w:eastAsia="Times New Roman" w:hAnsi="Helvetica"/>
          <w:sz w:val="18"/>
        </w:rPr>
        <w:t>orientiert sich</w:t>
      </w:r>
      <w:r w:rsidRPr="00FE702C">
        <w:rPr>
          <w:rFonts w:ascii="Helvetica" w:eastAsia="Times New Roman" w:hAnsi="Helvetica"/>
          <w:sz w:val="18"/>
        </w:rPr>
        <w:t xml:space="preserve"> konsequent an fachlich anerkannter Methodik und praxisbewä</w:t>
      </w:r>
      <w:r>
        <w:rPr>
          <w:rFonts w:ascii="Helvetica" w:eastAsia="Times New Roman" w:hAnsi="Helvetica"/>
          <w:sz w:val="18"/>
        </w:rPr>
        <w:t xml:space="preserve">hrten Frameworks und bedient sich für </w:t>
      </w:r>
      <w:r w:rsidRPr="00FE702C">
        <w:rPr>
          <w:rFonts w:ascii="Helvetica" w:eastAsia="Times New Roman" w:hAnsi="Helvetica"/>
          <w:sz w:val="18"/>
        </w:rPr>
        <w:t>die technologische Umsetzung marktfü</w:t>
      </w:r>
      <w:r>
        <w:rPr>
          <w:rFonts w:ascii="Helvetica" w:eastAsia="Times New Roman" w:hAnsi="Helvetica"/>
          <w:sz w:val="18"/>
        </w:rPr>
        <w:t xml:space="preserve">hrender Werkzeuge. </w:t>
      </w:r>
      <w:hyperlink r:id="rId8" w:history="1">
        <w:r w:rsidRPr="00E0339D">
          <w:rPr>
            <w:rFonts w:ascii="Helvetica" w:eastAsia="Times New Roman" w:hAnsi="Helvetica"/>
            <w:sz w:val="18"/>
          </w:rPr>
          <w:t>www.it-logix.ch</w:t>
        </w:r>
      </w:hyperlink>
      <w:r>
        <w:rPr>
          <w:rFonts w:ascii="Helvetica" w:eastAsia="Times New Roman" w:hAnsi="Helvetica"/>
          <w:sz w:val="18"/>
        </w:rPr>
        <w:t xml:space="preserve"> </w:t>
      </w:r>
    </w:p>
    <w:p w:rsidR="00347687" w:rsidRDefault="00347687" w:rsidP="00347687"/>
    <w:p w:rsidR="0045704E" w:rsidRDefault="0045704E"/>
    <w:sectPr w:rsidR="0045704E" w:rsidSect="006E04E2">
      <w:headerReference w:type="default" r:id="rId9"/>
      <w:pgSz w:w="11899" w:h="16838"/>
      <w:pgMar w:top="1418" w:right="2685" w:bottom="1843"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panose1 w:val="020B0600000000000000"/>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1BD7" w:rsidRDefault="00951BD7">
    <w:pPr>
      <w:pStyle w:val="Kopfzeile"/>
      <w:tabs>
        <w:tab w:val="clear" w:pos="9072"/>
        <w:tab w:val="right" w:pos="9639"/>
      </w:tabs>
    </w:pPr>
    <w:r>
      <w:rPr>
        <w:noProof/>
      </w:rPr>
      <w:drawing>
        <wp:anchor distT="0" distB="0" distL="114300" distR="114300" simplePos="0" relativeHeight="251659264" behindDoc="0" locked="0" layoutInCell="1" allowOverlap="1">
          <wp:simplePos x="0" y="0"/>
          <wp:positionH relativeFrom="column">
            <wp:posOffset>3657600</wp:posOffset>
          </wp:positionH>
          <wp:positionV relativeFrom="paragraph">
            <wp:posOffset>-13970</wp:posOffset>
          </wp:positionV>
          <wp:extent cx="2057400" cy="676910"/>
          <wp:effectExtent l="0" t="0" r="0" b="0"/>
          <wp:wrapNone/>
          <wp:docPr id="11" name="" descr="::ITL BILDER:IT_Logix_Logo_panton_7B8A5C.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TL BILDER:IT_Logix_Logo_panton_7B8A5C.EPS"/>
                  <pic:cNvPicPr>
                    <a:picLocks noChangeAspect="1" noChangeArrowheads="1"/>
                  </pic:cNvPicPr>
                </pic:nvPicPr>
                <ve:AlternateContent xmlns:ma="http://schemas.microsoft.com/office/mac/drawingml/2008/main">
                  <ve:Choice Requires="ma">
                    <pic:blipFill>
                      <a:blip r:embed="rId1"/>
                      <a:srcRect/>
                      <a:stretch>
                        <a:fillRect/>
                      </a:stretch>
                    </pic:blipFill>
                  </ve:Choice>
                  <ve:Fallback xmlns:ma="http://schemas.microsoft.com/office/mac/drawingml/2008/main" xmln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pic:blipFill>
                      <a:blip r:embed="rId2"/>
                      <a:srcRect/>
                      <a:stretch>
                        <a:fillRect/>
                      </a:stretch>
                    </pic:blipFill>
                  </ve:Fallback>
                </ve:AlternateContent>
                <pic:spPr bwMode="auto">
                  <a:xfrm>
                    <a:off x="0" y="0"/>
                    <a:ext cx="2057400" cy="676910"/>
                  </a:xfrm>
                  <a:prstGeom prst="rect">
                    <a:avLst/>
                  </a:prstGeom>
                  <a:noFill/>
                  <a:ln w="9525">
                    <a:noFill/>
                    <a:miter lim="800000"/>
                    <a:headEnd/>
                    <a:tailEnd/>
                  </a:ln>
                </pic:spPr>
              </pic:pic>
            </a:graphicData>
          </a:graphic>
        </wp:anchor>
      </w:drawing>
    </w:r>
    <w:r>
      <w:tab/>
    </w:r>
  </w:p>
  <w:p w:rsidR="00951BD7" w:rsidRDefault="00951BD7" w:rsidP="0045704E">
    <w:pPr>
      <w:pStyle w:val="Kopfzeile"/>
      <w:tabs>
        <w:tab w:val="clear" w:pos="9072"/>
        <w:tab w:val="left" w:pos="2000"/>
        <w:tab w:val="right" w:pos="9639"/>
      </w:tabs>
      <w:rPr>
        <w:noProof/>
      </w:rPr>
    </w:pPr>
    <w:r>
      <w:rPr>
        <w:noProof/>
      </w:rPr>
      <w:tab/>
    </w:r>
    <w:r>
      <w:rPr>
        <w:noProof/>
      </w:rPr>
      <w:tab/>
    </w:r>
  </w:p>
  <w:p w:rsidR="00951BD7" w:rsidRDefault="00951BD7">
    <w:pPr>
      <w:pStyle w:val="Kopfzeile"/>
      <w:tabs>
        <w:tab w:val="clear" w:pos="9072"/>
        <w:tab w:val="right" w:pos="9639"/>
      </w:tabs>
    </w:pPr>
    <w:r>
      <w:rPr>
        <w:noProof/>
      </w:rPr>
      <w:tab/>
      <w:t xml:space="preserve"> </w:t>
    </w:r>
  </w:p>
  <w:p w:rsidR="00951BD7" w:rsidRDefault="00951BD7">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EB2747"/>
    <w:rsid w:val="00007573"/>
    <w:rsid w:val="0022565B"/>
    <w:rsid w:val="00347687"/>
    <w:rsid w:val="0045704E"/>
    <w:rsid w:val="006E04E2"/>
    <w:rsid w:val="00951BD7"/>
    <w:rsid w:val="00B43EC4"/>
    <w:rsid w:val="00B478B5"/>
    <w:rsid w:val="00BC4463"/>
    <w:rsid w:val="00C25061"/>
    <w:rsid w:val="00CF0DC4"/>
    <w:rsid w:val="00E8773C"/>
    <w:rsid w:val="00EB2747"/>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EB2747"/>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EB2747"/>
    <w:pPr>
      <w:tabs>
        <w:tab w:val="center" w:pos="4536"/>
        <w:tab w:val="right" w:pos="9072"/>
      </w:tabs>
    </w:pPr>
  </w:style>
  <w:style w:type="character" w:customStyle="1" w:styleId="KopfzeileZeichen">
    <w:name w:val="Kopfzeile Zeichen"/>
    <w:basedOn w:val="Absatzstandardschriftart"/>
    <w:link w:val="Kopfzeile"/>
    <w:rsid w:val="00EB2747"/>
    <w:rPr>
      <w:rFonts w:ascii="Times" w:eastAsia="Times" w:hAnsi="Times" w:cs="Times New Roman"/>
      <w:lang w:eastAsia="de-DE"/>
    </w:rPr>
  </w:style>
  <w:style w:type="paragraph" w:styleId="Titel">
    <w:name w:val="Title"/>
    <w:basedOn w:val="Standard"/>
    <w:link w:val="TitelZeichen"/>
    <w:qFormat/>
    <w:rsid w:val="00EB2747"/>
    <w:pPr>
      <w:spacing w:after="60"/>
      <w:outlineLvl w:val="0"/>
    </w:pPr>
    <w:rPr>
      <w:rFonts w:ascii="Verdana" w:eastAsia="Times New Roman" w:hAnsi="Verdana" w:cs="Arial"/>
      <w:b/>
      <w:bCs/>
      <w:szCs w:val="32"/>
      <w:lang w:val="de-CH"/>
    </w:rPr>
  </w:style>
  <w:style w:type="character" w:customStyle="1" w:styleId="TitelZeichen">
    <w:name w:val="Titel Zeichen"/>
    <w:basedOn w:val="Absatzstandardschriftart"/>
    <w:link w:val="Titel"/>
    <w:rsid w:val="00EB2747"/>
    <w:rPr>
      <w:rFonts w:ascii="Verdana" w:eastAsia="Times New Roman" w:hAnsi="Verdana" w:cs="Arial"/>
      <w:b/>
      <w:bCs/>
      <w:szCs w:val="32"/>
      <w:lang w:val="de-CH" w:eastAsia="de-DE"/>
    </w:rPr>
  </w:style>
  <w:style w:type="character" w:styleId="Kommentarzeichen">
    <w:name w:val="annotation reference"/>
    <w:basedOn w:val="Absatzstandardschriftart"/>
    <w:uiPriority w:val="99"/>
    <w:semiHidden/>
    <w:unhideWhenUsed/>
    <w:rsid w:val="00347687"/>
    <w:rPr>
      <w:sz w:val="18"/>
      <w:szCs w:val="18"/>
    </w:rPr>
  </w:style>
  <w:style w:type="paragraph" w:styleId="Kommentartext">
    <w:name w:val="annotation text"/>
    <w:basedOn w:val="Standard"/>
    <w:link w:val="KommentartextZeichen"/>
    <w:uiPriority w:val="99"/>
    <w:semiHidden/>
    <w:unhideWhenUsed/>
    <w:rsid w:val="00347687"/>
  </w:style>
  <w:style w:type="character" w:customStyle="1" w:styleId="KommentartextZeichen">
    <w:name w:val="Kommentartext Zeichen"/>
    <w:basedOn w:val="Absatzstandardschriftart"/>
    <w:link w:val="Kommentartext"/>
    <w:uiPriority w:val="99"/>
    <w:semiHidden/>
    <w:rsid w:val="00347687"/>
    <w:rPr>
      <w:rFonts w:ascii="Times" w:eastAsia="Times" w:hAnsi="Times" w:cs="Times New Roman"/>
      <w:lang w:eastAsia="de-DE"/>
    </w:rPr>
  </w:style>
  <w:style w:type="paragraph" w:styleId="Sprechblasentext">
    <w:name w:val="Balloon Text"/>
    <w:basedOn w:val="Standard"/>
    <w:link w:val="SprechblasentextZeichen"/>
    <w:uiPriority w:val="99"/>
    <w:semiHidden/>
    <w:unhideWhenUsed/>
    <w:rsid w:val="00347687"/>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347687"/>
    <w:rPr>
      <w:rFonts w:ascii="Lucida Grande" w:eastAsia="Times" w:hAnsi="Lucida Grande" w:cs="Lucida Grande"/>
      <w:sz w:val="18"/>
      <w:szCs w:val="18"/>
      <w:lang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contact@it-logix.ch" TargetMode="External"/><Relationship Id="rId5" Type="http://schemas.openxmlformats.org/officeDocument/2006/relationships/hyperlink" Target="http://www.it-logix.ch" TargetMode="External"/><Relationship Id="rId6" Type="http://schemas.openxmlformats.org/officeDocument/2006/relationships/hyperlink" Target="mailto:mh@press-n-relations.ch" TargetMode="External"/><Relationship Id="rId7" Type="http://schemas.openxmlformats.org/officeDocument/2006/relationships/hyperlink" Target="http://www.press-n-relations.ch" TargetMode="External"/><Relationship Id="rId8" Type="http://schemas.openxmlformats.org/officeDocument/2006/relationships/hyperlink" Target="http://www.it-logix.ch"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pdf"/><Relationship Id="rId2"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744</Words>
  <Characters>4245</Characters>
  <Application>Microsoft Macintosh Word</Application>
  <DocSecurity>0</DocSecurity>
  <Lines>35</Lines>
  <Paragraphs>8</Paragraphs>
  <ScaleCrop>false</ScaleCrop>
  <Company>Press'n'Relations </Company>
  <LinksUpToDate>false</LinksUpToDate>
  <CharactersWithSpaces>5213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8</cp:revision>
  <dcterms:created xsi:type="dcterms:W3CDTF">2016-11-09T14:17:00Z</dcterms:created>
  <dcterms:modified xsi:type="dcterms:W3CDTF">2016-11-10T10:52:00Z</dcterms:modified>
</cp:coreProperties>
</file>