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D7F" w:rsidRPr="00A82C1D" w:rsidRDefault="0002475D"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Content>
          <w:r w:rsidR="002A4CFD">
            <w:rPr>
              <w:rFonts w:ascii="Noto Sans" w:hAnsi="Noto Sans"/>
            </w:rPr>
            <w:t>Press</w:t>
          </w:r>
          <w:r w:rsidR="00D41B20">
            <w:rPr>
              <w:rFonts w:ascii="Noto Sans" w:hAnsi="Noto Sans"/>
            </w:rPr>
            <w:t>einformation der 2G Energy AG</w:t>
          </w:r>
          <w:r w:rsidR="00D41B20">
            <w:rPr>
              <w:rFonts w:ascii="Noto Sans" w:hAnsi="Noto Sans"/>
            </w:rPr>
            <w:tab/>
            <w:t>15.02.2016</w:t>
          </w:r>
        </w:sdtContent>
      </w:sdt>
      <w:r w:rsidR="005A22B2">
        <w:rPr>
          <w:rFonts w:ascii="Noto Sans" w:hAnsi="Noto Sans"/>
        </w:rPr>
        <w:tab/>
      </w:r>
    </w:p>
    <w:p w:rsidR="00D252BC" w:rsidRDefault="00D252BC" w:rsidP="00D252BC">
      <w:pPr>
        <w:pStyle w:val="Standardtext"/>
        <w:spacing w:after="360"/>
        <w:ind w:left="0"/>
        <w:jc w:val="left"/>
        <w:rPr>
          <w:b/>
          <w:sz w:val="28"/>
        </w:rPr>
      </w:pPr>
      <w:r>
        <w:rPr>
          <w:b/>
          <w:sz w:val="28"/>
        </w:rPr>
        <w:t xml:space="preserve">Utility-Konzept von 2G Energy: Stadtwerke und Energieversorger profitieren von Kooperation mit BHKW-Hersteller </w:t>
      </w:r>
    </w:p>
    <w:p w:rsidR="00D252BC" w:rsidRDefault="00D252BC" w:rsidP="00D252BC">
      <w:pPr>
        <w:pStyle w:val="Standardtext"/>
        <w:spacing w:after="600"/>
        <w:ind w:left="0" w:right="1075"/>
        <w:jc w:val="left"/>
        <w:rPr>
          <w:b/>
          <w:sz w:val="28"/>
        </w:rPr>
      </w:pPr>
      <w:r>
        <w:rPr>
          <w:b/>
          <w:sz w:val="28"/>
        </w:rPr>
        <w:t>Die Kooperationslösung nutzt das KWKG 2016 und eröffnet neue profitable Optionen für regionale Energieversorger</w:t>
      </w:r>
      <w:r w:rsidR="00883CFD">
        <w:rPr>
          <w:b/>
          <w:sz w:val="28"/>
        </w:rPr>
        <w:t xml:space="preserve"> und deren Kunden</w:t>
      </w:r>
    </w:p>
    <w:p w:rsidR="00D252BC" w:rsidRDefault="00D252BC"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Heek, 15.02.2016 – Viele regionale Energieversorger und Stadtwerke reorganisieren aktuell ihr Strombeschaffungs- und Erzeugungsportfolio, da die traditionellen Geschäftsmodelle immer weniger rentabel sind. Verstärkt übernehmen sie die Stromerzeugung Dritter in ihr Beschaffungsportfolio und stärken so ihre Position als Bilanzkreisverantwortliche. Die 2G Energy AG, Hersteller von Blockheizkraftwerken (BHKW) mit Sitz in Heek, greift jetzt diesen Trend auf und stellt auf der Messe E-world (16.-18. Februar 2016) in Essen</w:t>
      </w:r>
      <w:r w:rsidRPr="00104BFF">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erstmals ihr neues Utility-Konzept vor. Kern des Konzepts ist eine Kooperation zwischen 2G und regionalen Versorgungsunternehmen oder auch Energiedienstleistern mit dem Ziel, die jeweiligen energiewirtschaftlichen und technischen Kompetenzen zu bündeln bei der Erschließung von neuen BHKW-Standorten. Für Alfred Gayer, Geschäftsführer der Konzerntochter 2G Rental GmbH, öffnen sich Energieversorgern auf Basis des aktuellen Kraft-Wärme-Kopplungs-Gesetzes (KWKG 2016) neue Optionen für lukrative Geschäftsmodelle: „Modellrechnungen machen deutlich, dass sich Objektversorgungen über Contracting wieder rechnen. Dabei geht es darum, Stromsteuervorteile zu berücksichtigen und Kombigeschäftsmodelle mit Eigenversorgern zu implementieren.“ </w:t>
      </w:r>
    </w:p>
    <w:p w:rsidR="00D252BC" w:rsidRDefault="00D252BC"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Zusätzlichen Nutzen im Bereich Finanzierung bietet die Vermietung der 2G-Kraftwerke über die 2G Rental GmbH. </w:t>
      </w:r>
      <w:r w:rsidRPr="00C30D06">
        <w:rPr>
          <w:rFonts w:ascii="Noto Sans" w:eastAsia="Times New Roman" w:hAnsi="Noto Sans" w:cs="Arial"/>
          <w:szCs w:val="20"/>
          <w:lang w:eastAsia="de-DE"/>
        </w:rPr>
        <w:t>Unter dem Slogan „Innovation ohne Investition“ wird das Mie</w:t>
      </w:r>
      <w:r>
        <w:rPr>
          <w:rFonts w:ascii="Noto Sans" w:eastAsia="Times New Roman" w:hAnsi="Noto Sans" w:cs="Arial"/>
          <w:szCs w:val="20"/>
          <w:lang w:eastAsia="de-DE"/>
        </w:rPr>
        <w:t xml:space="preserve">tmodell </w:t>
      </w:r>
      <w:r w:rsidRPr="00C30D06">
        <w:rPr>
          <w:rFonts w:ascii="Noto Sans" w:eastAsia="Times New Roman" w:hAnsi="Noto Sans" w:cs="Arial"/>
          <w:szCs w:val="20"/>
          <w:lang w:eastAsia="de-DE"/>
        </w:rPr>
        <w:t>insbesondere in der technisch standardisierten 2G KWK-Leistungsklasse von 20 kW</w:t>
      </w:r>
      <w:r w:rsidRPr="00C30D06">
        <w:rPr>
          <w:rFonts w:ascii="Noto Sans" w:eastAsia="Times New Roman" w:hAnsi="Noto Sans" w:cs="Arial"/>
          <w:szCs w:val="20"/>
          <w:vertAlign w:val="subscript"/>
          <w:lang w:eastAsia="de-DE"/>
        </w:rPr>
        <w:t>el</w:t>
      </w:r>
      <w:r w:rsidRPr="00C30D06">
        <w:rPr>
          <w:rFonts w:ascii="Noto Sans" w:eastAsia="Times New Roman" w:hAnsi="Noto Sans" w:cs="Arial"/>
          <w:szCs w:val="20"/>
          <w:lang w:eastAsia="de-DE"/>
        </w:rPr>
        <w:t xml:space="preserve"> bis 550 kW</w:t>
      </w:r>
      <w:r w:rsidRPr="00C30D06">
        <w:rPr>
          <w:rFonts w:ascii="Noto Sans" w:eastAsia="Times New Roman" w:hAnsi="Noto Sans" w:cs="Arial"/>
          <w:szCs w:val="20"/>
          <w:vertAlign w:val="subscript"/>
          <w:lang w:eastAsia="de-DE"/>
        </w:rPr>
        <w:t>el</w:t>
      </w:r>
      <w:r w:rsidRPr="00C30D06">
        <w:rPr>
          <w:rFonts w:ascii="Noto Sans" w:eastAsia="Times New Roman" w:hAnsi="Noto Sans" w:cs="Arial"/>
          <w:szCs w:val="20"/>
          <w:lang w:eastAsia="de-DE"/>
        </w:rPr>
        <w:t xml:space="preserve"> und bei standardisierten Containerlösungen a</w:t>
      </w:r>
      <w:r>
        <w:rPr>
          <w:rFonts w:ascii="Noto Sans" w:eastAsia="Times New Roman" w:hAnsi="Noto Sans" w:cs="Arial"/>
          <w:szCs w:val="20"/>
          <w:lang w:eastAsia="de-DE"/>
        </w:rPr>
        <w:t>uch im höheren Leistungsbereich</w:t>
      </w:r>
      <w:r w:rsidRPr="00C30D06">
        <w:rPr>
          <w:rFonts w:ascii="Noto Sans" w:eastAsia="Times New Roman" w:hAnsi="Noto Sans" w:cs="Arial"/>
          <w:szCs w:val="20"/>
          <w:lang w:eastAsia="de-DE"/>
        </w:rPr>
        <w:t xml:space="preserve"> angeboten. </w:t>
      </w:r>
      <w:r>
        <w:rPr>
          <w:rFonts w:ascii="Noto Sans" w:eastAsia="Times New Roman" w:hAnsi="Noto Sans" w:cs="Arial"/>
          <w:szCs w:val="20"/>
          <w:lang w:eastAsia="de-DE"/>
        </w:rPr>
        <w:t>D</w:t>
      </w:r>
      <w:r w:rsidRPr="00C30D06">
        <w:rPr>
          <w:rFonts w:ascii="Noto Sans" w:eastAsia="Times New Roman" w:hAnsi="Noto Sans" w:cs="Arial"/>
          <w:szCs w:val="20"/>
          <w:lang w:eastAsia="de-DE"/>
        </w:rPr>
        <w:t>ie monatliche Mietzahlung für die Gebrauchsüberlassung</w:t>
      </w:r>
      <w:r>
        <w:rPr>
          <w:rFonts w:ascii="Noto Sans" w:eastAsia="Times New Roman" w:hAnsi="Noto Sans" w:cs="Arial"/>
          <w:szCs w:val="20"/>
          <w:lang w:eastAsia="de-DE"/>
        </w:rPr>
        <w:t xml:space="preserve"> wird durch die Einsparungseffekte der BHKW-Lösung generiert.</w:t>
      </w:r>
      <w:r w:rsidRPr="00C30D06">
        <w:rPr>
          <w:rFonts w:ascii="Noto Sans" w:eastAsia="Times New Roman" w:hAnsi="Noto Sans" w:cs="Arial"/>
          <w:szCs w:val="20"/>
          <w:lang w:eastAsia="de-DE"/>
        </w:rPr>
        <w:t xml:space="preserve"> Die Gebrauchsüberlassung beinhaltet den Abschluss eines Voll-Servicevertrages zwischen dem Kunden und 2G.</w:t>
      </w:r>
      <w:r>
        <w:rPr>
          <w:rFonts w:ascii="Noto Sans" w:eastAsia="Times New Roman" w:hAnsi="Noto Sans" w:cs="Arial"/>
          <w:szCs w:val="20"/>
          <w:lang w:eastAsia="de-DE"/>
        </w:rPr>
        <w:t xml:space="preserve"> Alfred Gayer: „</w:t>
      </w:r>
      <w:r w:rsidRPr="00C30D06">
        <w:rPr>
          <w:rFonts w:ascii="Noto Sans" w:eastAsia="Times New Roman" w:hAnsi="Noto Sans" w:cs="Arial"/>
          <w:szCs w:val="20"/>
          <w:lang w:eastAsia="de-DE"/>
        </w:rPr>
        <w:t>2G Energy AG reagiert damit auf die steigende Nachfrage von Kunden, den Ausbau der dezentralen Kraft-Wärme-Kopplung</w:t>
      </w:r>
      <w:r w:rsidRPr="00C30D06" w:rsidDel="00E20890">
        <w:rPr>
          <w:rFonts w:ascii="Noto Sans" w:eastAsia="Times New Roman" w:hAnsi="Noto Sans" w:cs="Arial"/>
          <w:szCs w:val="20"/>
          <w:lang w:eastAsia="de-DE"/>
        </w:rPr>
        <w:t xml:space="preserve"> </w:t>
      </w:r>
      <w:r w:rsidRPr="00C30D06">
        <w:rPr>
          <w:rFonts w:ascii="Noto Sans" w:eastAsia="Times New Roman" w:hAnsi="Noto Sans" w:cs="Arial"/>
          <w:szCs w:val="20"/>
          <w:lang w:eastAsia="de-DE"/>
        </w:rPr>
        <w:t>auf einer einfachen, liquiditätsschonenden und ratierlichen Basis umsetzen zu können.</w:t>
      </w:r>
      <w:r>
        <w:rPr>
          <w:rFonts w:ascii="Noto Sans" w:eastAsia="Times New Roman" w:hAnsi="Noto Sans" w:cs="Arial"/>
          <w:szCs w:val="20"/>
          <w:lang w:eastAsia="de-DE"/>
        </w:rPr>
        <w:t xml:space="preserve"> Unsere Mietlösung bietet gegenüber der Finanzierung einen echten Mehrwert.“  </w:t>
      </w:r>
      <w:r w:rsidRPr="00C30D06">
        <w:rPr>
          <w:rFonts w:ascii="Noto Sans" w:eastAsia="Times New Roman" w:hAnsi="Noto Sans" w:cs="Arial"/>
          <w:szCs w:val="20"/>
          <w:lang w:eastAsia="de-DE"/>
        </w:rPr>
        <w:t xml:space="preserve"> </w:t>
      </w:r>
    </w:p>
    <w:p w:rsidR="00D252BC" w:rsidRDefault="00D252BC"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Das Utility-Konzept von 2G sieht vor, dass von den Energieversorgern bzw. Energiedienstleistern über die Gasverbräuche potenziell geeignete Standorte für den Einsatz von 2G-Kraftwerken ermittelt werden. Der Kooperationspartner 2G ist zuständig für die Standortaufnahme, eine projektspezifische Angebotserstellung und übernimmt die Verantwortung für die ermittelte Investitionssumme. Bei Bedarf wird das Versorgungsunternehmen von 2G bei der Kundenakquisition in Sachen Strom- und Wärmeabnehmer unterstützt und erhält auf Mietbasis eine angepasste BHKW-Lösung einschließlich Wartungs- und Servicevertrag. In der Hand von 2G liegen wiederum die Umsetzung der Baumaßnahmen unter Einbeziehung des örtlichen Handwerks und die Fernüberwachung der 2G-Kraftwerke, um den Kooperationspartner in der Betriebsphase zu entlasten. Das Stadtwerk bzw. der regionale Energieversorger übernimmt die Stromerzeugung in sein Beschaffungsportfolio, wodurch z.B. in Verbindung mit der Wohnungswirtschaft „white-label“-Produkte als Mieterstrom aus der vom Versorger betriebenen Anlage angeboten werden können, ohne dass die Mieter über komplizierte Pachtmodelle zum Betreiber der BHKW-Anlage werden müssen. </w:t>
      </w:r>
    </w:p>
    <w:p w:rsidR="00D252BC" w:rsidRDefault="00D252BC"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lastRenderedPageBreak/>
        <w:t xml:space="preserve">Gayer sieht im Utility-Konzept von 2G ein erhebliches Potenzial für Stadtwerke und regionale Versorgungsunternehmen: „Dezentrale Energieversorgung zum Börsenstrompreis ist für Energieversorger wirtschaftlich attraktiv und trägt zur lokalen Umsetzung der Energiewende bei.“  </w:t>
      </w:r>
    </w:p>
    <w:p w:rsidR="002D7682" w:rsidRDefault="002D7682"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Bild:</w:t>
      </w:r>
    </w:p>
    <w:p w:rsidR="00D252BC" w:rsidRDefault="002D7682" w:rsidP="00D252BC">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Alfred Gayer, Geschäftsführer der 2G Rental GmbH</w:t>
      </w:r>
      <w:r w:rsidR="00D252BC">
        <w:rPr>
          <w:rFonts w:ascii="Noto Sans" w:eastAsia="Times New Roman" w:hAnsi="Noto Sans" w:cs="Arial"/>
          <w:szCs w:val="20"/>
          <w:lang w:eastAsia="de-DE"/>
        </w:rPr>
        <w:t xml:space="preserve">                            </w:t>
      </w:r>
    </w:p>
    <w:p w:rsidR="00EB1E1F" w:rsidRPr="00B1355E" w:rsidRDefault="00104BFF" w:rsidP="000F4393">
      <w:pPr>
        <w:ind w:left="0"/>
        <w:rPr>
          <w:rFonts w:ascii="Noto Sans" w:hAnsi="Noto Sans" w:cs="Arial"/>
          <w:b/>
          <w:color w:val="0D0D0D" w:themeColor="text1" w:themeTint="F2"/>
          <w:szCs w:val="20"/>
        </w:rPr>
      </w:pPr>
      <w:r>
        <w:rPr>
          <w:rFonts w:ascii="Noto Sans" w:hAnsi="Noto Sans" w:cs="Arial"/>
          <w:b/>
          <w:color w:val="0D0D0D" w:themeColor="text1" w:themeTint="F2"/>
          <w:szCs w:val="20"/>
        </w:rPr>
        <w:br w:type="page"/>
      </w:r>
      <w:r w:rsidR="00EB1E1F" w:rsidRPr="00B1355E">
        <w:rPr>
          <w:rFonts w:ascii="Noto Sans" w:hAnsi="Noto Sans" w:cs="Arial"/>
          <w:b/>
          <w:color w:val="0D0D0D" w:themeColor="text1" w:themeTint="F2"/>
          <w:szCs w:val="20"/>
        </w:rPr>
        <w:lastRenderedPageBreak/>
        <w:t>Unternehmensprofil 2G Energy AG</w:t>
      </w:r>
    </w:p>
    <w:p w:rsidR="006C63F3" w:rsidRPr="00EA6E2E" w:rsidRDefault="00104BFF" w:rsidP="009005B4">
      <w:pPr>
        <w:spacing w:before="100" w:beforeAutospacing="1" w:after="100" w:afterAutospacing="1" w:line="240" w:lineRule="auto"/>
        <w:ind w:left="0"/>
        <w:jc w:val="both"/>
        <w:rPr>
          <w:rFonts w:ascii="Noto Sans" w:eastAsia="Times New Roman" w:hAnsi="Noto Sans" w:cs="Arial"/>
          <w:szCs w:val="20"/>
          <w:lang w:eastAsia="de-DE"/>
        </w:rPr>
      </w:pPr>
      <w:r w:rsidRPr="00104BFF">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kW und 4.000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kW für den Betrieb mit Erdgas, Biogas und anderen Schwachgasen sowie Biomethan. Bislang hat 2G in fast 40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Ländern mehrere Tausend KWK-Anlagen erfolgreich installiert. Insbesondere im Leistungsbereich zwischen 50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kW und 550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kW verfügt 2G über eigene Verbrennungsmotorenkonzepte mit niedrigen Kraftstoffverbräuchen, hoher Verfügbarkeit und optimierter Wartungsintensität. Neben dem Hauptsitz in Heek hat 2G einen weiteren Produktions- und Vertriebs- &amp; Service-Standort in St.</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Augustine, Florida, USA. Das Kundenspektrum reicht vom Landwirt über Industriebetriebe, Kommunen,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 und weit mehr als 90</w:t>
      </w:r>
      <w:r w:rsidR="004275FD">
        <w:rPr>
          <w:rFonts w:ascii="Noto Sans" w:eastAsia="Times New Roman" w:hAnsi="Noto Sans" w:cs="Arial"/>
          <w:szCs w:val="20"/>
          <w:lang w:eastAsia="de-DE"/>
        </w:rPr>
        <w:t> </w:t>
      </w:r>
      <w:r w:rsidRPr="00104BFF">
        <w:rPr>
          <w:rFonts w:ascii="Noto Sans" w:eastAsia="Times New Roman" w:hAnsi="Noto Sans" w:cs="Arial"/>
          <w:szCs w:val="20"/>
          <w:lang w:eastAsia="de-DE"/>
        </w:rPr>
        <w:t>%.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w:t>
      </w:r>
      <w:r>
        <w:rPr>
          <w:rFonts w:ascii="Noto Sans" w:eastAsia="Times New Roman" w:hAnsi="Noto Sans" w:cs="Arial"/>
          <w:szCs w:val="20"/>
          <w:lang w:eastAsia="de-DE"/>
        </w:rPr>
        <w:t xml:space="preserve"> </w:t>
      </w:r>
      <w:r w:rsidRPr="00104BFF">
        <w:rPr>
          <w:rFonts w:ascii="Noto Sans" w:eastAsia="Times New Roman" w:hAnsi="Noto Sans" w:cs="Arial"/>
          <w:szCs w:val="20"/>
          <w:lang w:eastAsia="de-DE"/>
        </w:rPr>
        <w:t xml:space="preserve">KWK-Anlagen in intelligent vernetzten Energiesystemen </w:t>
      </w:r>
      <w:r w:rsidR="00F9368E">
        <w:rPr>
          <w:rFonts w:ascii="Noto Sans" w:eastAsia="Times New Roman" w:hAnsi="Noto Sans" w:cs="Arial"/>
          <w:szCs w:val="20"/>
          <w:lang w:eastAsia="de-DE"/>
        </w:rPr>
        <w:t>–</w:t>
      </w:r>
      <w:r w:rsidRPr="00104BFF">
        <w:rPr>
          <w:rFonts w:ascii="Noto Sans" w:eastAsia="Times New Roman" w:hAnsi="Noto Sans" w:cs="Arial"/>
          <w:szCs w:val="20"/>
          <w:lang w:eastAsia="de-DE"/>
        </w:rPr>
        <w:t xml:space="preserve"> sogenannte virtuelle Kraftwerke </w:t>
      </w:r>
      <w:r w:rsidR="00F9368E">
        <w:rPr>
          <w:rFonts w:ascii="Noto Sans" w:eastAsia="Times New Roman" w:hAnsi="Noto Sans" w:cs="Arial"/>
          <w:szCs w:val="20"/>
          <w:lang w:eastAsia="de-DE"/>
        </w:rPr>
        <w:t>–</w:t>
      </w:r>
      <w:r w:rsidRPr="00104BFF">
        <w:rPr>
          <w:rFonts w:ascii="Noto Sans" w:eastAsia="Times New Roman" w:hAnsi="Noto Sans" w:cs="Arial"/>
          <w:szCs w:val="20"/>
          <w:lang w:eastAsia="de-DE"/>
        </w:rPr>
        <w:t xml:space="preserve">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EB1E1F">
          <w:headerReference w:type="even" r:id="rId8"/>
          <w:headerReference w:type="default" r:id="rId9"/>
          <w:footerReference w:type="even" r:id="rId10"/>
          <w:footerReference w:type="default" r:id="rId11"/>
          <w:type w:val="continuous"/>
          <w:pgSz w:w="11906" w:h="16838"/>
          <w:pgMar w:top="1985" w:right="1021" w:bottom="1134"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Stefan Liesner</w:t>
      </w:r>
      <w:r w:rsidRPr="00B1355E">
        <w:rPr>
          <w:rFonts w:ascii="Noto Sans" w:hAnsi="Noto Sans"/>
        </w:rPr>
        <w:br/>
        <w:t>2G Energy AG</w:t>
      </w:r>
      <w:r w:rsidRPr="00B1355E">
        <w:rPr>
          <w:rFonts w:ascii="Noto Sans" w:hAnsi="Noto Sans"/>
        </w:rPr>
        <w:br/>
        <w:t>Leiter Marketing</w:t>
      </w:r>
      <w:r w:rsidRPr="00B1355E">
        <w:rPr>
          <w:rFonts w:ascii="Noto Sans" w:hAnsi="Noto Sans"/>
        </w:rPr>
        <w:br/>
        <w:t>Benzstraße 3</w:t>
      </w:r>
      <w:r w:rsidRPr="00B1355E">
        <w:rPr>
          <w:rFonts w:ascii="Noto Sans" w:hAnsi="Noto Sans"/>
        </w:rPr>
        <w:br/>
        <w:t>48619 Heek</w:t>
      </w:r>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Zum Imberg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447" w:rsidRDefault="002B4447" w:rsidP="00E945DC">
      <w:pPr>
        <w:spacing w:after="0" w:line="240" w:lineRule="auto"/>
      </w:pPr>
      <w:r>
        <w:separator/>
      </w:r>
    </w:p>
  </w:endnote>
  <w:endnote w:type="continuationSeparator" w:id="0">
    <w:p w:rsidR="002B4447" w:rsidRDefault="002B4447" w:rsidP="00E94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Noto Sans" w:hAnsi="Noto Sans"/>
      </w:rPr>
      <w:id w:val="-945693593"/>
    </w:sdtPr>
    <w:sdtContent>
      <w:tbl>
        <w:tblPr>
          <w:tblStyle w:val="Tabellengitternetz"/>
          <w:tblW w:w="9923" w:type="dxa"/>
          <w:tblBorders>
            <w:left w:val="none" w:sz="0" w:space="0" w:color="auto"/>
            <w:bottom w:val="none" w:sz="0" w:space="0" w:color="auto"/>
            <w:right w:val="none" w:sz="0" w:space="0" w:color="auto"/>
            <w:insideH w:val="none" w:sz="0" w:space="0" w:color="auto"/>
            <w:insideV w:val="none" w:sz="0" w:space="0" w:color="auto"/>
          </w:tblBorders>
          <w:tblLook w:val="04A0"/>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02475D" w:rsidP="002548BE">
              <w:pPr>
                <w:pStyle w:val="Fuzeile"/>
                <w:rPr>
                  <w:rFonts w:ascii="Noto Sans" w:hAnsi="Noto Sans"/>
                </w:rPr>
              </w:pPr>
              <w:sdt>
                <w:sdtPr>
                  <w:rPr>
                    <w:rFonts w:ascii="Noto Sans" w:hAnsi="Noto Sans"/>
                  </w:rPr>
                  <w:id w:val="-1197992978"/>
                  <w:docPartObj>
                    <w:docPartGallery w:val="Page Numbers (Top of Page)"/>
                    <w:docPartUnique/>
                  </w:docPartObj>
                </w:sdtPr>
                <w:sdtContent>
                  <w:r w:rsidRPr="00177073">
                    <w:rPr>
                      <w:rFonts w:ascii="Noto Sans" w:hAnsi="Noto Sans"/>
                      <w:bCs/>
                    </w:rPr>
                    <w:fldChar w:fldCharType="begin"/>
                  </w:r>
                  <w:r w:rsidR="009005B4" w:rsidRPr="00177073">
                    <w:rPr>
                      <w:rFonts w:ascii="Noto Sans" w:hAnsi="Noto Sans"/>
                      <w:bCs/>
                    </w:rPr>
                    <w:instrText>PAGE</w:instrText>
                  </w:r>
                  <w:r w:rsidRPr="00177073">
                    <w:rPr>
                      <w:rFonts w:ascii="Noto Sans" w:hAnsi="Noto Sans"/>
                      <w:bCs/>
                    </w:rPr>
                    <w:fldChar w:fldCharType="separate"/>
                  </w:r>
                  <w:r w:rsidR="009005B4">
                    <w:rPr>
                      <w:rFonts w:ascii="Noto Sans" w:hAnsi="Noto Sans"/>
                      <w:bCs/>
                      <w:noProof/>
                    </w:rPr>
                    <w:t>2</w:t>
                  </w:r>
                  <w:r w:rsidRPr="00177073">
                    <w:rPr>
                      <w:rFonts w:ascii="Noto Sans" w:hAnsi="Noto Sans"/>
                      <w:bCs/>
                    </w:rPr>
                    <w:fldChar w:fldCharType="end"/>
                  </w:r>
                  <w:r w:rsidR="009005B4" w:rsidRPr="00177073">
                    <w:rPr>
                      <w:rFonts w:ascii="Noto Sans" w:hAnsi="Noto Sans"/>
                    </w:rPr>
                    <w:t xml:space="preserve"> / </w:t>
                  </w:r>
                  <w:r w:rsidRPr="00177073">
                    <w:rPr>
                      <w:rFonts w:ascii="Noto Sans" w:hAnsi="Noto Sans"/>
                      <w:bCs/>
                    </w:rPr>
                    <w:fldChar w:fldCharType="begin"/>
                  </w:r>
                  <w:r w:rsidR="009005B4" w:rsidRPr="00177073">
                    <w:rPr>
                      <w:rFonts w:ascii="Noto Sans" w:hAnsi="Noto Sans"/>
                      <w:bCs/>
                    </w:rPr>
                    <w:instrText>NUMPAGES</w:instrText>
                  </w:r>
                  <w:r w:rsidRPr="00177073">
                    <w:rPr>
                      <w:rFonts w:ascii="Noto Sans" w:hAnsi="Noto Sans"/>
                      <w:bCs/>
                    </w:rPr>
                    <w:fldChar w:fldCharType="separate"/>
                  </w:r>
                  <w:r w:rsidR="00EA3ED5">
                    <w:rPr>
                      <w:rFonts w:ascii="Noto Sans" w:hAnsi="Noto Sans"/>
                      <w:bCs/>
                      <w:noProof/>
                    </w:rPr>
                    <w:t>3</w:t>
                  </w:r>
                  <w:r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9005B4" w:rsidRPr="00177073" w:rsidRDefault="0002475D" w:rsidP="001637D7">
              <w:pPr>
                <w:pStyle w:val="Fuzeile"/>
                <w:jc w:val="right"/>
                <w:rPr>
                  <w:rFonts w:ascii="Noto Sans" w:hAnsi="Noto Sans"/>
                </w:rPr>
              </w:pPr>
              <w:fldSimple w:instr=" DOCPROPERTY PRODSTRING5 \* MERGEFORMAT ">
                <w:r w:rsidR="00EA3ED5" w:rsidRPr="00EA3ED5">
                  <w:rPr>
                    <w:rFonts w:ascii="Noto Sans" w:hAnsi="Noto Sans"/>
                  </w:rPr>
                  <w:t>Platzhalter Beschreibung</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02475D" w:rsidP="0096679F">
              <w:pPr>
                <w:pStyle w:val="Fuzeile"/>
                <w:jc w:val="right"/>
                <w:rPr>
                  <w:rFonts w:ascii="Noto Sans" w:hAnsi="Noto Sans"/>
                </w:rPr>
              </w:pPr>
              <w:fldSimple w:instr=" DOCPROPERTY PROANLDAT \* MERGEFORMAT ">
                <w:r w:rsidR="00EA3ED5" w:rsidRPr="00EA3ED5">
                  <w:rPr>
                    <w:rFonts w:ascii="Noto Sans" w:hAnsi="Noto Sans"/>
                    <w:lang w:val="en-US"/>
                  </w:rPr>
                  <w:t>13.10.2014</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fldSimple w:instr=" DOCPROPERTY PRODOKID \* MERGEFORMAT ">
                <w:r w:rsidR="00EA3ED5" w:rsidRPr="00EA3ED5">
                  <w:rPr>
                    <w:rFonts w:ascii="Noto Sans" w:hAnsi="Noto Sans"/>
                  </w:rPr>
                  <w:t>245143</w:t>
                </w:r>
              </w:fldSimple>
            </w:p>
          </w:tc>
        </w:tr>
      </w:tbl>
    </w:sdtContent>
  </w:sdt>
  <w:p w:rsidR="009005B4" w:rsidRPr="00177073" w:rsidRDefault="009005B4" w:rsidP="00617346">
    <w:pPr>
      <w:pStyle w:val="Fuzeile"/>
      <w:rPr>
        <w:rFonts w:ascii="Noto Sans" w:hAnsi="Noto San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Noto Sans" w:hAnsi="Noto Sans"/>
      </w:rPr>
      <w:id w:val="107395550"/>
    </w:sdtPr>
    <w:sdtContent>
      <w:tbl>
        <w:tblPr>
          <w:tblStyle w:val="Tabellengitternetz"/>
          <w:tblW w:w="9928" w:type="dxa"/>
          <w:tblBorders>
            <w:left w:val="none" w:sz="0" w:space="0" w:color="auto"/>
            <w:bottom w:val="none" w:sz="0" w:space="0" w:color="auto"/>
            <w:right w:val="none" w:sz="0" w:space="0" w:color="auto"/>
            <w:insideH w:val="none" w:sz="0" w:space="0" w:color="auto"/>
            <w:insideV w:val="none" w:sz="0" w:space="0" w:color="auto"/>
          </w:tblBorders>
          <w:tblLook w:val="04A0"/>
        </w:tblPr>
        <w:tblGrid>
          <w:gridCol w:w="4400"/>
          <w:gridCol w:w="1134"/>
          <w:gridCol w:w="4394"/>
        </w:tblGrid>
        <w:tr w:rsidR="009005B4" w:rsidRPr="00177073" w:rsidTr="00B82704">
          <w:trPr>
            <w:trHeight w:val="18"/>
          </w:trPr>
          <w:tc>
            <w:tcPr>
              <w:tcW w:w="4400" w:type="dxa"/>
              <w:tcMar>
                <w:top w:w="57" w:type="dxa"/>
                <w:left w:w="0" w:type="dxa"/>
                <w:right w:w="0" w:type="dxa"/>
              </w:tcMar>
            </w:tcPr>
            <w:p w:rsidR="009005B4" w:rsidRPr="00177073" w:rsidRDefault="009005B4" w:rsidP="00685574">
              <w:pPr>
                <w:pStyle w:val="Fuzeile"/>
                <w:rPr>
                  <w:rFonts w:ascii="Noto Sans" w:hAnsi="Noto Sans"/>
                </w:rPr>
              </w:pPr>
              <w:r>
                <w:rPr>
                  <w:rFonts w:ascii="Noto Sans" w:hAnsi="Noto Sans"/>
                </w:rPr>
                <w:t>Presseinformation</w:t>
              </w:r>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rsidR="009005B4" w:rsidRPr="00177073" w:rsidRDefault="0002475D" w:rsidP="00685574">
              <w:pPr>
                <w:pStyle w:val="Fuzeile"/>
                <w:jc w:val="right"/>
                <w:rPr>
                  <w:rFonts w:ascii="Noto Sans" w:hAnsi="Noto Sans"/>
                </w:rPr>
              </w:pPr>
              <w:sdt>
                <w:sdtPr>
                  <w:rPr>
                    <w:rFonts w:ascii="Noto Sans" w:hAnsi="Noto Sans"/>
                  </w:rPr>
                  <w:id w:val="-333375320"/>
                  <w:docPartObj>
                    <w:docPartGallery w:val="Page Numbers (Bottom of Page)"/>
                    <w:docPartUnique/>
                  </w:docPartObj>
                </w:sdtPr>
                <w:sdtContent>
                  <w:sdt>
                    <w:sdtPr>
                      <w:rPr>
                        <w:rFonts w:ascii="Noto Sans" w:hAnsi="Noto Sans"/>
                      </w:rPr>
                      <w:id w:val="989908551"/>
                      <w:docPartObj>
                        <w:docPartGallery w:val="Page Numbers (Top of Page)"/>
                        <w:docPartUnique/>
                      </w:docPartObj>
                    </w:sdtPr>
                    <w:sdtContent>
                      <w:r w:rsidRPr="00177073">
                        <w:rPr>
                          <w:rFonts w:ascii="Noto Sans" w:hAnsi="Noto Sans"/>
                          <w:bCs/>
                        </w:rPr>
                        <w:fldChar w:fldCharType="begin"/>
                      </w:r>
                      <w:r w:rsidR="009005B4" w:rsidRPr="00177073">
                        <w:rPr>
                          <w:rFonts w:ascii="Noto Sans" w:hAnsi="Noto Sans"/>
                          <w:bCs/>
                        </w:rPr>
                        <w:instrText>PAGE</w:instrText>
                      </w:r>
                      <w:r w:rsidRPr="00177073">
                        <w:rPr>
                          <w:rFonts w:ascii="Noto Sans" w:hAnsi="Noto Sans"/>
                          <w:bCs/>
                        </w:rPr>
                        <w:fldChar w:fldCharType="separate"/>
                      </w:r>
                      <w:r w:rsidR="002D7682">
                        <w:rPr>
                          <w:rFonts w:ascii="Noto Sans" w:hAnsi="Noto Sans"/>
                          <w:bCs/>
                          <w:noProof/>
                        </w:rPr>
                        <w:t>1</w:t>
                      </w:r>
                      <w:r w:rsidRPr="00177073">
                        <w:rPr>
                          <w:rFonts w:ascii="Noto Sans" w:hAnsi="Noto Sans"/>
                          <w:bCs/>
                        </w:rPr>
                        <w:fldChar w:fldCharType="end"/>
                      </w:r>
                      <w:r w:rsidR="009005B4" w:rsidRPr="00177073">
                        <w:rPr>
                          <w:rFonts w:ascii="Noto Sans" w:hAnsi="Noto Sans"/>
                        </w:rPr>
                        <w:t xml:space="preserve"> / </w:t>
                      </w:r>
                      <w:r w:rsidRPr="00177073">
                        <w:rPr>
                          <w:rFonts w:ascii="Noto Sans" w:hAnsi="Noto Sans"/>
                          <w:bCs/>
                        </w:rPr>
                        <w:fldChar w:fldCharType="begin"/>
                      </w:r>
                      <w:r w:rsidR="009005B4" w:rsidRPr="00177073">
                        <w:rPr>
                          <w:rFonts w:ascii="Noto Sans" w:hAnsi="Noto Sans"/>
                          <w:bCs/>
                        </w:rPr>
                        <w:instrText>NUMPAGES</w:instrText>
                      </w:r>
                      <w:r w:rsidRPr="00177073">
                        <w:rPr>
                          <w:rFonts w:ascii="Noto Sans" w:hAnsi="Noto Sans"/>
                          <w:bCs/>
                        </w:rPr>
                        <w:fldChar w:fldCharType="separate"/>
                      </w:r>
                      <w:r w:rsidR="002D7682">
                        <w:rPr>
                          <w:rFonts w:ascii="Noto Sans" w:hAnsi="Noto Sans"/>
                          <w:bCs/>
                          <w:noProof/>
                        </w:rPr>
                        <w:t>3</w:t>
                      </w:r>
                      <w:r w:rsidRPr="00177073">
                        <w:rPr>
                          <w:rFonts w:ascii="Noto Sans" w:hAnsi="Noto Sans"/>
                          <w:bCs/>
                        </w:rPr>
                        <w:fldChar w:fldCharType="end"/>
                      </w:r>
                    </w:sdtContent>
                  </w:sdt>
                </w:sdtContent>
              </w:sdt>
            </w:p>
          </w:tc>
        </w:tr>
        <w:tr w:rsidR="009005B4" w:rsidRPr="0096679F" w:rsidTr="00B82704">
          <w:tc>
            <w:tcPr>
              <w:tcW w:w="4400" w:type="dxa"/>
              <w:tcMar>
                <w:top w:w="0" w:type="dxa"/>
                <w:left w:w="0" w:type="dxa"/>
                <w:right w:w="0" w:type="dxa"/>
              </w:tcMar>
            </w:tcPr>
            <w:p w:rsidR="009005B4" w:rsidRPr="0096679F" w:rsidRDefault="009005B4" w:rsidP="00685574">
              <w:pPr>
                <w:pStyle w:val="Fuzeile"/>
                <w:rPr>
                  <w:rFonts w:ascii="Noto Sans" w:hAnsi="Noto Sans"/>
                  <w:lang w:val="en-US"/>
                </w:rPr>
              </w:pPr>
            </w:p>
          </w:tc>
          <w:tc>
            <w:tcPr>
              <w:tcW w:w="1134" w:type="dxa"/>
              <w:tcMar>
                <w:top w:w="0" w:type="dxa"/>
                <w:left w:w="0" w:type="dxa"/>
                <w:right w:w="0" w:type="dxa"/>
              </w:tcMar>
            </w:tcPr>
            <w:p w:rsidR="009005B4" w:rsidRPr="0096679F" w:rsidRDefault="009005B4" w:rsidP="00B82704">
              <w:pPr>
                <w:pStyle w:val="Fuzeile"/>
                <w:jc w:val="center"/>
                <w:rPr>
                  <w:rFonts w:ascii="Noto Sans" w:hAnsi="Noto Sans"/>
                  <w:lang w:val="en-US"/>
                </w:rPr>
              </w:pPr>
              <w:r>
                <w:rPr>
                  <w:rFonts w:ascii="Noto Sans" w:hAnsi="Noto Sans"/>
                  <w:lang w:val="en-US"/>
                </w:rPr>
                <w:t>www.2-g.de</w:t>
              </w:r>
            </w:p>
          </w:tc>
          <w:tc>
            <w:tcPr>
              <w:tcW w:w="4394" w:type="dxa"/>
              <w:tcMar>
                <w:top w:w="0" w:type="dxa"/>
                <w:left w:w="0" w:type="dxa"/>
                <w:right w:w="0" w:type="dxa"/>
              </w:tcMar>
            </w:tcPr>
            <w:p w:rsidR="009005B4" w:rsidRPr="0096679F" w:rsidRDefault="009005B4" w:rsidP="00685574">
              <w:pPr>
                <w:pStyle w:val="Fuzeile"/>
                <w:rPr>
                  <w:rFonts w:ascii="Noto Sans" w:hAnsi="Noto Sans"/>
                  <w:lang w:val="en-US"/>
                </w:rPr>
              </w:pPr>
            </w:p>
          </w:tc>
        </w:tr>
        <w:tr w:rsidR="009005B4" w:rsidRPr="0096679F" w:rsidTr="00B82704">
          <w:tc>
            <w:tcPr>
              <w:tcW w:w="4400" w:type="dxa"/>
              <w:tcMar>
                <w:top w:w="0" w:type="dxa"/>
                <w:left w:w="0" w:type="dxa"/>
                <w:right w:w="0" w:type="dxa"/>
              </w:tcMar>
            </w:tcPr>
            <w:p w:rsidR="009005B4" w:rsidRPr="0096679F" w:rsidRDefault="009005B4" w:rsidP="009731C1">
              <w:pPr>
                <w:pStyle w:val="Fuzeile"/>
                <w:rPr>
                  <w:rFonts w:ascii="Noto Sans" w:hAnsi="Noto Sans"/>
                  <w:lang w:val="en-US"/>
                </w:rPr>
              </w:pPr>
            </w:p>
          </w:tc>
          <w:tc>
            <w:tcPr>
              <w:tcW w:w="1134" w:type="dxa"/>
              <w:tcMar>
                <w:top w:w="0" w:type="dxa"/>
                <w:left w:w="0" w:type="dxa"/>
                <w:right w:w="0" w:type="dxa"/>
              </w:tcMar>
            </w:tcPr>
            <w:p w:rsidR="009005B4" w:rsidRPr="0096679F" w:rsidRDefault="009005B4" w:rsidP="00B82704">
              <w:pPr>
                <w:pStyle w:val="Fuzeile"/>
                <w:jc w:val="center"/>
                <w:rPr>
                  <w:rFonts w:ascii="Noto Sans" w:hAnsi="Noto Sans"/>
                  <w:lang w:val="en-US"/>
                </w:rPr>
              </w:pPr>
            </w:p>
          </w:tc>
          <w:tc>
            <w:tcPr>
              <w:tcW w:w="4394" w:type="dxa"/>
              <w:tcMar>
                <w:top w:w="0" w:type="dxa"/>
                <w:left w:w="0" w:type="dxa"/>
                <w:right w:w="0" w:type="dxa"/>
              </w:tcMar>
            </w:tcPr>
            <w:p w:rsidR="009005B4" w:rsidRPr="0096679F" w:rsidRDefault="0002475D" w:rsidP="00685574">
              <w:pPr>
                <w:pStyle w:val="Fuzeile"/>
                <w:rPr>
                  <w:rFonts w:ascii="Noto Sans" w:hAnsi="Noto Sans"/>
                  <w:lang w:val="en-US"/>
                </w:rPr>
              </w:pPr>
            </w:p>
          </w:tc>
        </w:tr>
      </w:tbl>
    </w:sdtContent>
  </w:sdt>
  <w:p w:rsidR="009005B4" w:rsidRPr="0096679F" w:rsidRDefault="009005B4" w:rsidP="00936781">
    <w:pPr>
      <w:pStyle w:val="Fuzeile"/>
      <w:rPr>
        <w:rFonts w:ascii="Noto Sans" w:hAnsi="Noto Sans"/>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447" w:rsidRDefault="002B4447" w:rsidP="00E945DC">
      <w:pPr>
        <w:spacing w:after="0" w:line="240" w:lineRule="auto"/>
      </w:pPr>
      <w:r>
        <w:separator/>
      </w:r>
    </w:p>
  </w:footnote>
  <w:footnote w:type="continuationSeparator" w:id="0">
    <w:p w:rsidR="002B4447" w:rsidRDefault="002B4447" w:rsidP="00E945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5376533"/>
      <w:lock w:val="sdtContentLocked"/>
    </w:sdtPr>
    <w:sdtContent>
      <w:sdt>
        <w:sdtPr>
          <w:id w:val="342130260"/>
        </w:sdtPr>
        <w:sdtContent>
          <w:sdt>
            <w:sdtPr>
              <w:id w:val="-1476602219"/>
            </w:sdtPr>
            <w:sdtContent>
              <w:sdt>
                <w:sdtPr>
                  <w:id w:val="1877801886"/>
                </w:sdtPr>
                <w:sdtContent>
                  <w:sdt>
                    <w:sdtPr>
                      <w:id w:val="1084114003"/>
                    </w:sdtPr>
                    <w:sdtContent>
                      <w:sdt>
                        <w:sdtPr>
                          <w:id w:val="2092268106"/>
                        </w:sdtPr>
                        <w:sdtContent>
                          <w:sdt>
                            <w:sdtPr>
                              <w:id w:val="-1243018319"/>
                            </w:sdtPr>
                            <w:sdtContent>
                              <w:sdt>
                                <w:sdtPr>
                                  <w:id w:val="-686281563"/>
                                </w:sdt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5B4" w:rsidRDefault="0002475D" w:rsidP="001637D7">
    <w:pPr>
      <w:pStyle w:val="Kopfzeile"/>
      <w:pBdr>
        <w:bottom w:val="single" w:sz="4" w:space="1" w:color="auto"/>
      </w:pBdr>
    </w:pPr>
    <w:sdt>
      <w:sdtPr>
        <w:id w:val="-84915648"/>
      </w:sdtPr>
      <w:sdtContent>
        <w:r w:rsidR="009005B4">
          <w:rPr>
            <w:noProof/>
            <w:lang w:eastAsia="de-DE"/>
          </w:rPr>
          <w:drawing>
            <wp:anchor distT="0" distB="0" distL="114300" distR="114300" simplePos="0" relativeHeight="251669504" behindDoc="1" locked="0" layoutInCell="1" allowOverlap="1">
              <wp:simplePos x="0" y="0"/>
              <wp:positionH relativeFrom="leftMargin">
                <wp:posOffset>6156960</wp:posOffset>
              </wp:positionH>
              <wp:positionV relativeFrom="topMargin">
                <wp:posOffset>252095</wp:posOffset>
              </wp:positionV>
              <wp:extent cx="774000" cy="504000"/>
              <wp:effectExtent l="0" t="0" r="7620" b="0"/>
              <wp:wrapNone/>
              <wp:docPr id="2" name="Grafik 2"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4000" cy="504000"/>
                      </a:xfrm>
                      <a:prstGeom prst="rect">
                        <a:avLst/>
                      </a:prstGeom>
                      <a:noFill/>
                      <a:ln>
                        <a:noFill/>
                      </a:ln>
                    </pic:spPr>
                  </pic:pic>
                </a:graphicData>
              </a:graphic>
            </wp:anchor>
          </w:drawing>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proofState w:spelling="clean" w:grammar="clean"/>
  <w:defaultTabStop w:val="709"/>
  <w:hyphenationZone w:val="425"/>
  <w:characterSpacingControl w:val="doNotCompress"/>
  <w:hdrShapeDefaults>
    <o:shapedefaults v:ext="edit" spidmax="22530"/>
  </w:hdrShapeDefaults>
  <w:footnotePr>
    <w:footnote w:id="-1"/>
    <w:footnote w:id="0"/>
  </w:footnotePr>
  <w:endnotePr>
    <w:endnote w:id="-1"/>
    <w:endnote w:id="0"/>
  </w:endnotePr>
  <w:compat/>
  <w:rsids>
    <w:rsidRoot w:val="00CB4BF8"/>
    <w:rsid w:val="00000760"/>
    <w:rsid w:val="00000FED"/>
    <w:rsid w:val="00013593"/>
    <w:rsid w:val="00021A95"/>
    <w:rsid w:val="0002475D"/>
    <w:rsid w:val="00035AB7"/>
    <w:rsid w:val="000A3DD9"/>
    <w:rsid w:val="000C5286"/>
    <w:rsid w:val="000C5E6F"/>
    <w:rsid w:val="000D74C7"/>
    <w:rsid w:val="000F3B01"/>
    <w:rsid w:val="000F4393"/>
    <w:rsid w:val="00104BFF"/>
    <w:rsid w:val="001128BF"/>
    <w:rsid w:val="00117F70"/>
    <w:rsid w:val="00132F29"/>
    <w:rsid w:val="00133033"/>
    <w:rsid w:val="00135BC2"/>
    <w:rsid w:val="001530E8"/>
    <w:rsid w:val="00162F8E"/>
    <w:rsid w:val="001637D7"/>
    <w:rsid w:val="001666B5"/>
    <w:rsid w:val="00167368"/>
    <w:rsid w:val="00177073"/>
    <w:rsid w:val="0018406B"/>
    <w:rsid w:val="00185166"/>
    <w:rsid w:val="00192DBE"/>
    <w:rsid w:val="001A282B"/>
    <w:rsid w:val="001B0892"/>
    <w:rsid w:val="001B2BB3"/>
    <w:rsid w:val="001B53C9"/>
    <w:rsid w:val="001C72BC"/>
    <w:rsid w:val="001E66A2"/>
    <w:rsid w:val="001F3A69"/>
    <w:rsid w:val="00210178"/>
    <w:rsid w:val="00234B3D"/>
    <w:rsid w:val="00244644"/>
    <w:rsid w:val="002548BE"/>
    <w:rsid w:val="00263578"/>
    <w:rsid w:val="002637DB"/>
    <w:rsid w:val="002A182B"/>
    <w:rsid w:val="002A4CFD"/>
    <w:rsid w:val="002B4447"/>
    <w:rsid w:val="002B5B3C"/>
    <w:rsid w:val="002D7682"/>
    <w:rsid w:val="002E0229"/>
    <w:rsid w:val="002F3E62"/>
    <w:rsid w:val="002F47AD"/>
    <w:rsid w:val="003027AD"/>
    <w:rsid w:val="003030A5"/>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A2D"/>
    <w:rsid w:val="003A1D1F"/>
    <w:rsid w:val="003B5B10"/>
    <w:rsid w:val="003D0AB0"/>
    <w:rsid w:val="003D35D5"/>
    <w:rsid w:val="003D4E8F"/>
    <w:rsid w:val="003E12AA"/>
    <w:rsid w:val="003E3C3E"/>
    <w:rsid w:val="003F1A02"/>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71155"/>
    <w:rsid w:val="00473C20"/>
    <w:rsid w:val="00477853"/>
    <w:rsid w:val="0048008A"/>
    <w:rsid w:val="0048091D"/>
    <w:rsid w:val="00496D0B"/>
    <w:rsid w:val="004B7D7F"/>
    <w:rsid w:val="004C1326"/>
    <w:rsid w:val="004C327B"/>
    <w:rsid w:val="004C5B7C"/>
    <w:rsid w:val="004D069A"/>
    <w:rsid w:val="004D614C"/>
    <w:rsid w:val="004E6E45"/>
    <w:rsid w:val="004F38E9"/>
    <w:rsid w:val="004F5475"/>
    <w:rsid w:val="004F709A"/>
    <w:rsid w:val="00500C01"/>
    <w:rsid w:val="00501C0C"/>
    <w:rsid w:val="0050759E"/>
    <w:rsid w:val="0052128B"/>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73AB"/>
    <w:rsid w:val="005D79FA"/>
    <w:rsid w:val="005E027E"/>
    <w:rsid w:val="005E2228"/>
    <w:rsid w:val="005E3024"/>
    <w:rsid w:val="005E608D"/>
    <w:rsid w:val="006060BE"/>
    <w:rsid w:val="00617346"/>
    <w:rsid w:val="0061765D"/>
    <w:rsid w:val="00633257"/>
    <w:rsid w:val="00636D2E"/>
    <w:rsid w:val="00637200"/>
    <w:rsid w:val="00653FBB"/>
    <w:rsid w:val="00676439"/>
    <w:rsid w:val="00684D22"/>
    <w:rsid w:val="00685574"/>
    <w:rsid w:val="00686C40"/>
    <w:rsid w:val="00690C6B"/>
    <w:rsid w:val="00691538"/>
    <w:rsid w:val="006A7BF0"/>
    <w:rsid w:val="006B29A6"/>
    <w:rsid w:val="006B4C18"/>
    <w:rsid w:val="006B5E06"/>
    <w:rsid w:val="006C63F3"/>
    <w:rsid w:val="0070179E"/>
    <w:rsid w:val="0070512D"/>
    <w:rsid w:val="00705EB4"/>
    <w:rsid w:val="00720DE0"/>
    <w:rsid w:val="00734ABF"/>
    <w:rsid w:val="007513B1"/>
    <w:rsid w:val="00754041"/>
    <w:rsid w:val="00762710"/>
    <w:rsid w:val="007671C1"/>
    <w:rsid w:val="00772652"/>
    <w:rsid w:val="0078103E"/>
    <w:rsid w:val="0078239B"/>
    <w:rsid w:val="007832DA"/>
    <w:rsid w:val="007A0990"/>
    <w:rsid w:val="007B00E3"/>
    <w:rsid w:val="007B03C5"/>
    <w:rsid w:val="007C4630"/>
    <w:rsid w:val="007C6754"/>
    <w:rsid w:val="007E248A"/>
    <w:rsid w:val="007F3AC2"/>
    <w:rsid w:val="0080431D"/>
    <w:rsid w:val="0082086D"/>
    <w:rsid w:val="00842C79"/>
    <w:rsid w:val="00845B8E"/>
    <w:rsid w:val="008472A2"/>
    <w:rsid w:val="008501D8"/>
    <w:rsid w:val="0085038E"/>
    <w:rsid w:val="00851BF5"/>
    <w:rsid w:val="00862EBA"/>
    <w:rsid w:val="0086634A"/>
    <w:rsid w:val="0086674E"/>
    <w:rsid w:val="00871867"/>
    <w:rsid w:val="00883CFD"/>
    <w:rsid w:val="00897B0C"/>
    <w:rsid w:val="008A13D6"/>
    <w:rsid w:val="008B10E0"/>
    <w:rsid w:val="008B131F"/>
    <w:rsid w:val="008B2CAC"/>
    <w:rsid w:val="008B2EB4"/>
    <w:rsid w:val="008B4609"/>
    <w:rsid w:val="008D2640"/>
    <w:rsid w:val="008D3669"/>
    <w:rsid w:val="008D5845"/>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438D1"/>
    <w:rsid w:val="00954D8B"/>
    <w:rsid w:val="009654C0"/>
    <w:rsid w:val="0096679F"/>
    <w:rsid w:val="00971658"/>
    <w:rsid w:val="009718FA"/>
    <w:rsid w:val="009731C1"/>
    <w:rsid w:val="00975B34"/>
    <w:rsid w:val="0098092D"/>
    <w:rsid w:val="009810D4"/>
    <w:rsid w:val="0099089F"/>
    <w:rsid w:val="00990C40"/>
    <w:rsid w:val="009A51E2"/>
    <w:rsid w:val="009C4AEE"/>
    <w:rsid w:val="009D1BC8"/>
    <w:rsid w:val="009D5FAB"/>
    <w:rsid w:val="009D671A"/>
    <w:rsid w:val="009E35B6"/>
    <w:rsid w:val="009E38CA"/>
    <w:rsid w:val="009F46A1"/>
    <w:rsid w:val="009F49B0"/>
    <w:rsid w:val="009F4CAD"/>
    <w:rsid w:val="00A237A0"/>
    <w:rsid w:val="00A2719C"/>
    <w:rsid w:val="00A34E96"/>
    <w:rsid w:val="00A35149"/>
    <w:rsid w:val="00A35942"/>
    <w:rsid w:val="00A41070"/>
    <w:rsid w:val="00A44F57"/>
    <w:rsid w:val="00A4647C"/>
    <w:rsid w:val="00A478D4"/>
    <w:rsid w:val="00A47A13"/>
    <w:rsid w:val="00A52189"/>
    <w:rsid w:val="00A641F1"/>
    <w:rsid w:val="00A64699"/>
    <w:rsid w:val="00A82C1D"/>
    <w:rsid w:val="00A93942"/>
    <w:rsid w:val="00AA0082"/>
    <w:rsid w:val="00AA374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317EC"/>
    <w:rsid w:val="00B32829"/>
    <w:rsid w:val="00B37975"/>
    <w:rsid w:val="00B41ADE"/>
    <w:rsid w:val="00B42D60"/>
    <w:rsid w:val="00B537BE"/>
    <w:rsid w:val="00B53910"/>
    <w:rsid w:val="00B6046F"/>
    <w:rsid w:val="00B70D2F"/>
    <w:rsid w:val="00B82704"/>
    <w:rsid w:val="00B832A0"/>
    <w:rsid w:val="00B9325C"/>
    <w:rsid w:val="00BB0CF0"/>
    <w:rsid w:val="00BB0CFD"/>
    <w:rsid w:val="00BB5BEC"/>
    <w:rsid w:val="00BE559A"/>
    <w:rsid w:val="00BF2284"/>
    <w:rsid w:val="00BF3259"/>
    <w:rsid w:val="00BF6833"/>
    <w:rsid w:val="00C0556C"/>
    <w:rsid w:val="00C05E35"/>
    <w:rsid w:val="00C06FA8"/>
    <w:rsid w:val="00C0783B"/>
    <w:rsid w:val="00C1240F"/>
    <w:rsid w:val="00C208A5"/>
    <w:rsid w:val="00C22068"/>
    <w:rsid w:val="00C26BE9"/>
    <w:rsid w:val="00C31AB4"/>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7BBF"/>
    <w:rsid w:val="00D252BC"/>
    <w:rsid w:val="00D30396"/>
    <w:rsid w:val="00D30480"/>
    <w:rsid w:val="00D328EC"/>
    <w:rsid w:val="00D366D3"/>
    <w:rsid w:val="00D36976"/>
    <w:rsid w:val="00D37EDE"/>
    <w:rsid w:val="00D414E9"/>
    <w:rsid w:val="00D41B20"/>
    <w:rsid w:val="00D41DBB"/>
    <w:rsid w:val="00D57E7D"/>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C60"/>
    <w:rsid w:val="00DD19CB"/>
    <w:rsid w:val="00DD4336"/>
    <w:rsid w:val="00E00222"/>
    <w:rsid w:val="00E079D2"/>
    <w:rsid w:val="00E10F7B"/>
    <w:rsid w:val="00E1344E"/>
    <w:rsid w:val="00E13949"/>
    <w:rsid w:val="00E20EB1"/>
    <w:rsid w:val="00E238F2"/>
    <w:rsid w:val="00E32749"/>
    <w:rsid w:val="00E425DF"/>
    <w:rsid w:val="00E471C7"/>
    <w:rsid w:val="00E501EC"/>
    <w:rsid w:val="00E54404"/>
    <w:rsid w:val="00E64D8F"/>
    <w:rsid w:val="00E662E3"/>
    <w:rsid w:val="00E82AD3"/>
    <w:rsid w:val="00E86071"/>
    <w:rsid w:val="00E90AA4"/>
    <w:rsid w:val="00E90BFE"/>
    <w:rsid w:val="00E92C2F"/>
    <w:rsid w:val="00E945DC"/>
    <w:rsid w:val="00E94B4A"/>
    <w:rsid w:val="00EA3ED5"/>
    <w:rsid w:val="00EA6E2E"/>
    <w:rsid w:val="00EB1E1F"/>
    <w:rsid w:val="00EB7701"/>
    <w:rsid w:val="00ED1B2D"/>
    <w:rsid w:val="00EF1F5E"/>
    <w:rsid w:val="00EF4386"/>
    <w:rsid w:val="00EF66FF"/>
    <w:rsid w:val="00EF7CCC"/>
    <w:rsid w:val="00F403D5"/>
    <w:rsid w:val="00F47293"/>
    <w:rsid w:val="00F51D30"/>
    <w:rsid w:val="00F54DC0"/>
    <w:rsid w:val="00F65299"/>
    <w:rsid w:val="00F74503"/>
    <w:rsid w:val="00F75DF1"/>
    <w:rsid w:val="00F9368E"/>
    <w:rsid w:val="00FB2E45"/>
    <w:rsid w:val="00FB38B6"/>
    <w:rsid w:val="00FB5BC0"/>
    <w:rsid w:val="00FB7509"/>
    <w:rsid w:val="00FC17AE"/>
    <w:rsid w:val="00FD0F77"/>
    <w:rsid w:val="00FE0857"/>
    <w:rsid w:val="00FE41B4"/>
    <w:rsid w:val="00FE715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gitternetz">
    <w:name w:val="Table Grid"/>
    <w:basedOn w:val="NormaleTabelle"/>
    <w:uiPriority w:val="59"/>
    <w:rsid w:val="00720D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r="http://schemas.openxmlformats.org/officeDocument/2006/relationships" xmlns:w="http://schemas.openxmlformats.org/wordprocessingml/2006/main">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5074D"/>
    <w:rsid w:val="000C50B8"/>
    <w:rsid w:val="00125A4C"/>
    <w:rsid w:val="001E08A8"/>
    <w:rsid w:val="0025156B"/>
    <w:rsid w:val="00332B60"/>
    <w:rsid w:val="00347C0E"/>
    <w:rsid w:val="003A5D2A"/>
    <w:rsid w:val="003E4062"/>
    <w:rsid w:val="004B6C1C"/>
    <w:rsid w:val="00633256"/>
    <w:rsid w:val="00654E28"/>
    <w:rsid w:val="00680733"/>
    <w:rsid w:val="006E477E"/>
    <w:rsid w:val="007141DB"/>
    <w:rsid w:val="00742BBA"/>
    <w:rsid w:val="00845C51"/>
    <w:rsid w:val="0085074D"/>
    <w:rsid w:val="00A97855"/>
    <w:rsid w:val="00AC45A1"/>
    <w:rsid w:val="00AD12C5"/>
    <w:rsid w:val="00B43AB6"/>
    <w:rsid w:val="00B65EDE"/>
    <w:rsid w:val="00CB3EBE"/>
    <w:rsid w:val="00E25150"/>
    <w:rsid w:val="00F04784"/>
    <w:rsid w:val="00FB0855"/>
    <w:rsid w:val="00FD5438"/>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4B672-4350-4F0B-86B5-BD0CE630D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855</Words>
  <Characters>5391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Haake</cp:lastModifiedBy>
  <cp:revision>2</cp:revision>
  <cp:lastPrinted>2016-02-15T07:41:00Z</cp:lastPrinted>
  <dcterms:created xsi:type="dcterms:W3CDTF">2016-02-15T14:15:00Z</dcterms:created>
  <dcterms:modified xsi:type="dcterms:W3CDTF">2016-02-15T14:15:00Z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